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47EE" w14:textId="66667F28" w:rsidR="00B81ECC" w:rsidRPr="005F4BB9" w:rsidRDefault="00FE1E39" w:rsidP="00B81ECC">
      <w:pPr>
        <w:rPr>
          <w:rFonts w:eastAsia="MS Minngs"/>
        </w:rPr>
      </w:pPr>
      <w:r>
        <w:rPr>
          <w:rFonts w:eastAsia="MS Minngs"/>
        </w:rPr>
        <w:t>9/10/19</w:t>
      </w:r>
      <w:r w:rsidR="004C1FA1">
        <w:rPr>
          <w:rFonts w:eastAsia="MS Minngs"/>
        </w:rPr>
        <w:t xml:space="preserve"> </w:t>
      </w:r>
    </w:p>
    <w:p w14:paraId="713B602D" w14:textId="29D559B7" w:rsidR="00B81ECC" w:rsidRDefault="00FE1E39" w:rsidP="00FE1E39">
      <w:pPr>
        <w:pStyle w:val="Heading1"/>
        <w:rPr>
          <w:rFonts w:eastAsia="MS Minngs"/>
        </w:rPr>
      </w:pPr>
      <w:r>
        <w:rPr>
          <w:rFonts w:eastAsia="MS Minngs"/>
        </w:rPr>
        <w:t>Rowan McRae</w:t>
      </w:r>
      <w:r w:rsidR="00E4595D">
        <w:rPr>
          <w:rFonts w:eastAsia="MS Minngs"/>
        </w:rPr>
        <w:t>,</w:t>
      </w:r>
      <w:r>
        <w:rPr>
          <w:rFonts w:eastAsia="MS Minngs"/>
        </w:rPr>
        <w:t xml:space="preserve"> Executive Director Civil Justice Access and Equity</w:t>
      </w:r>
    </w:p>
    <w:p w14:paraId="0E7AE8BC" w14:textId="77777777" w:rsidR="00FE1E39" w:rsidRDefault="00FE1E39" w:rsidP="00FE1E39">
      <w:pPr>
        <w:spacing w:after="200" w:line="300" w:lineRule="exact"/>
      </w:pPr>
      <w:r>
        <w:t>Thank you. My name is Rowan McRae and I am the Executive Director of Civil Justice, Access and Equity at Victoria Legal Aid.</w:t>
      </w:r>
    </w:p>
    <w:p w14:paraId="1C3F2A79" w14:textId="77777777" w:rsidR="00FE1E39" w:rsidRDefault="00FE1E39" w:rsidP="00FE1E39">
      <w:pPr>
        <w:spacing w:after="200" w:line="300" w:lineRule="exact"/>
      </w:pPr>
      <w:r>
        <w:t xml:space="preserve">Over the last 3 years, Victoria Legal Aid has received thousands of phone calls from confused and distressed people who have been contacted by Centrelink or debt collectors about a ‘robo-debt’. We provided over 650 services in the last financial year alone. </w:t>
      </w:r>
    </w:p>
    <w:p w14:paraId="3E4D23F2" w14:textId="77777777" w:rsidR="00FE1E39" w:rsidRDefault="00FE1E39" w:rsidP="00FE1E39">
      <w:pPr>
        <w:spacing w:after="200" w:line="300" w:lineRule="exact"/>
        <w:rPr>
          <w:lang w:eastAsia="en-AU"/>
        </w:rPr>
      </w:pPr>
      <w:r>
        <w:rPr>
          <w:lang w:eastAsia="en-AU"/>
        </w:rPr>
        <w:t>Victoria Legal Aid sees the significant stress and hardship caused by robo-debt. Our lawyers see firsthand its impact on our clients. One client told us, ‘I was an emotional and physical wreck’ and ‘I didn’t want to get up and face the day’.</w:t>
      </w:r>
    </w:p>
    <w:p w14:paraId="3068D966" w14:textId="60D9BB3F" w:rsidR="00FE1E39" w:rsidRDefault="00FE1E39" w:rsidP="00FE1E39">
      <w:pPr>
        <w:spacing w:after="200" w:line="300" w:lineRule="exact"/>
        <w:rPr>
          <w:lang w:eastAsia="en-AU"/>
        </w:rPr>
      </w:pPr>
      <w:r>
        <w:rPr>
          <w:lang w:eastAsia="en-AU"/>
        </w:rPr>
        <w:t>Tens of t</w:t>
      </w:r>
      <w:r w:rsidRPr="00BA1A49">
        <w:rPr>
          <w:lang w:eastAsia="en-AU"/>
        </w:rPr>
        <w:t xml:space="preserve">housands of </w:t>
      </w:r>
      <w:r>
        <w:rPr>
          <w:lang w:eastAsia="en-AU"/>
        </w:rPr>
        <w:t>Australians</w:t>
      </w:r>
      <w:r w:rsidRPr="00BA1A49">
        <w:rPr>
          <w:lang w:eastAsia="en-AU"/>
        </w:rPr>
        <w:t xml:space="preserve"> have been put through the stress and confusion of the broken </w:t>
      </w:r>
      <w:r>
        <w:rPr>
          <w:lang w:eastAsia="en-AU"/>
        </w:rPr>
        <w:t>robo-debt</w:t>
      </w:r>
      <w:r w:rsidRPr="00BA1A49">
        <w:rPr>
          <w:lang w:eastAsia="en-AU"/>
        </w:rPr>
        <w:t xml:space="preserve"> system</w:t>
      </w:r>
      <w:r>
        <w:rPr>
          <w:lang w:eastAsia="en-AU"/>
        </w:rPr>
        <w:t xml:space="preserve">. </w:t>
      </w:r>
      <w:r w:rsidRPr="00E8083F">
        <w:rPr>
          <w:lang w:eastAsia="en-AU"/>
        </w:rPr>
        <w:t xml:space="preserve">But it is the most disadvantaged and marginalised people who struggle to overcome the barriers embedded in how </w:t>
      </w:r>
      <w:r>
        <w:rPr>
          <w:lang w:eastAsia="en-AU"/>
        </w:rPr>
        <w:t>robo-debt</w:t>
      </w:r>
      <w:r w:rsidRPr="00E8083F">
        <w:rPr>
          <w:lang w:eastAsia="en-AU"/>
        </w:rPr>
        <w:t xml:space="preserve"> operates</w:t>
      </w:r>
      <w:r>
        <w:rPr>
          <w:lang w:eastAsia="en-AU"/>
        </w:rPr>
        <w:t xml:space="preserve">. </w:t>
      </w:r>
      <w:r w:rsidR="005D7410">
        <w:rPr>
          <w:lang w:eastAsia="en-AU"/>
        </w:rPr>
        <w:t>This complex and inaccessible system</w:t>
      </w:r>
      <w:r>
        <w:rPr>
          <w:lang w:eastAsia="en-AU"/>
        </w:rPr>
        <w:t xml:space="preserve"> </w:t>
      </w:r>
      <w:r w:rsidRPr="00E8083F">
        <w:rPr>
          <w:lang w:eastAsia="en-AU"/>
        </w:rPr>
        <w:t>stop</w:t>
      </w:r>
      <w:r w:rsidR="005D7410">
        <w:rPr>
          <w:lang w:eastAsia="en-AU"/>
        </w:rPr>
        <w:t>s</w:t>
      </w:r>
      <w:r w:rsidRPr="00E8083F">
        <w:rPr>
          <w:lang w:eastAsia="en-AU"/>
        </w:rPr>
        <w:t xml:space="preserve"> people achieving a fair outcome</w:t>
      </w:r>
      <w:r>
        <w:rPr>
          <w:lang w:eastAsia="en-AU"/>
        </w:rPr>
        <w:t xml:space="preserve"> and we know people are paying money they don’t owe.</w:t>
      </w:r>
    </w:p>
    <w:p w14:paraId="4168F9C4" w14:textId="77777777" w:rsidR="00FE1E39" w:rsidRDefault="00FE1E39" w:rsidP="00FE1E39">
      <w:pPr>
        <w:spacing w:after="200" w:line="300" w:lineRule="exact"/>
        <w:rPr>
          <w:lang w:eastAsia="en-AU"/>
        </w:rPr>
      </w:pPr>
      <w:r>
        <w:rPr>
          <w:lang w:eastAsia="en-AU"/>
        </w:rPr>
        <w:t>This inquiry is an opportunity to develop a way forward to ensure no one has to go through the stress of an unfair and confusing system, of scrambling to obtain documents from years ago to</w:t>
      </w:r>
      <w:r w:rsidRPr="002B3CDC">
        <w:rPr>
          <w:lang w:eastAsia="en-AU"/>
        </w:rPr>
        <w:t xml:space="preserve"> disprove a faulty </w:t>
      </w:r>
      <w:r>
        <w:rPr>
          <w:lang w:eastAsia="en-AU"/>
        </w:rPr>
        <w:t>robo-debt,</w:t>
      </w:r>
      <w:r w:rsidRPr="002B3CDC">
        <w:rPr>
          <w:lang w:eastAsia="en-AU"/>
        </w:rPr>
        <w:t xml:space="preserve"> or to</w:t>
      </w:r>
      <w:r>
        <w:rPr>
          <w:lang w:eastAsia="en-AU"/>
        </w:rPr>
        <w:t xml:space="preserve"> unfairly </w:t>
      </w:r>
      <w:r w:rsidRPr="002B3CDC">
        <w:rPr>
          <w:lang w:eastAsia="en-AU"/>
        </w:rPr>
        <w:t xml:space="preserve">pay off a </w:t>
      </w:r>
      <w:r>
        <w:rPr>
          <w:lang w:eastAsia="en-AU"/>
        </w:rPr>
        <w:t>robo-debt</w:t>
      </w:r>
      <w:r w:rsidRPr="002B3CDC">
        <w:rPr>
          <w:lang w:eastAsia="en-AU"/>
        </w:rPr>
        <w:t xml:space="preserve"> they </w:t>
      </w:r>
      <w:r>
        <w:rPr>
          <w:lang w:eastAsia="en-AU"/>
        </w:rPr>
        <w:t>do not owe.</w:t>
      </w:r>
    </w:p>
    <w:p w14:paraId="7342BAA1" w14:textId="77777777" w:rsidR="00FE1E39" w:rsidRDefault="00FE1E39" w:rsidP="00FE1E39">
      <w:pPr>
        <w:spacing w:after="200" w:line="300" w:lineRule="exact"/>
        <w:rPr>
          <w:lang w:eastAsia="en-AU"/>
        </w:rPr>
      </w:pPr>
      <w:r>
        <w:rPr>
          <w:lang w:eastAsia="en-AU"/>
        </w:rPr>
        <w:t>The National Legal Aid submission combines the practice experience of all state and territory Legal Aid Commissions across Australia. It includes stories from people affected by robo-debt and makes 10 recommendations for a fair and accurate system people can trust.</w:t>
      </w:r>
    </w:p>
    <w:p w14:paraId="61FE97F1" w14:textId="73AA37F3" w:rsidR="00FE1E39" w:rsidRDefault="00FE1E39" w:rsidP="00FE1E39">
      <w:pPr>
        <w:spacing w:after="200" w:line="300" w:lineRule="exact"/>
        <w:rPr>
          <w:lang w:eastAsia="en-AU"/>
        </w:rPr>
      </w:pPr>
      <w:r>
        <w:rPr>
          <w:lang w:eastAsia="en-AU"/>
        </w:rPr>
        <w:t>Informed by our work, legal expertise and the experiences of our clients, we recommend that the Australian Government should stop the elements of robo-debt which are inaccurate, unfair, inaccessible and arguably unlawful. These include the averaging method, the reverse onus of proof, unfairly raising a debt where there has been no engagement</w:t>
      </w:r>
      <w:r w:rsidR="007A5D3B">
        <w:rPr>
          <w:lang w:eastAsia="en-AU"/>
        </w:rPr>
        <w:t xml:space="preserve"> with clients</w:t>
      </w:r>
      <w:r>
        <w:rPr>
          <w:lang w:eastAsia="en-AU"/>
        </w:rPr>
        <w:t xml:space="preserve"> and barriers to</w:t>
      </w:r>
      <w:r w:rsidR="007A5D3B">
        <w:rPr>
          <w:lang w:eastAsia="en-AU"/>
        </w:rPr>
        <w:t xml:space="preserve"> clients</w:t>
      </w:r>
      <w:r>
        <w:rPr>
          <w:lang w:eastAsia="en-AU"/>
        </w:rPr>
        <w:t xml:space="preserve"> obtaining more information or seeking a review.</w:t>
      </w:r>
    </w:p>
    <w:p w14:paraId="7F17D04A" w14:textId="3593749D" w:rsidR="00FE1E39" w:rsidRDefault="00FE1E39" w:rsidP="00FE1E39">
      <w:pPr>
        <w:spacing w:after="200" w:line="300" w:lineRule="exact"/>
        <w:rPr>
          <w:lang w:eastAsia="en-AU"/>
        </w:rPr>
      </w:pPr>
      <w:r>
        <w:rPr>
          <w:lang w:eastAsia="en-AU"/>
        </w:rPr>
        <w:t xml:space="preserve">This Committee has the power to recommend that the Australian Government invest in a system re-design. System re-design should be done in consultation with service users and stakeholders, to ensure that the system for calculating and recovering Centrelink overpayments is fair, accurate and accessible. Investment in a better model will lead to long-term benefits for any Australian who </w:t>
      </w:r>
      <w:r w:rsidR="007A5D3B">
        <w:rPr>
          <w:lang w:eastAsia="en-AU"/>
        </w:rPr>
        <w:t>accesses</w:t>
      </w:r>
      <w:r>
        <w:rPr>
          <w:lang w:eastAsia="en-AU"/>
        </w:rPr>
        <w:t xml:space="preserve"> social security</w:t>
      </w:r>
      <w:r w:rsidR="007A5D3B">
        <w:rPr>
          <w:lang w:eastAsia="en-AU"/>
        </w:rPr>
        <w:t xml:space="preserve"> support</w:t>
      </w:r>
      <w:r>
        <w:rPr>
          <w:lang w:eastAsia="en-AU"/>
        </w:rPr>
        <w:t xml:space="preserve"> in their lifetime and will help rebuild public confidence in how Centrelink engages with and treats its customers.</w:t>
      </w:r>
    </w:p>
    <w:p w14:paraId="4F9E9B9F" w14:textId="77777777" w:rsidR="00FE1E39" w:rsidRDefault="00FE1E39" w:rsidP="00FE1E39">
      <w:pPr>
        <w:spacing w:after="200" w:line="300" w:lineRule="exact"/>
        <w:rPr>
          <w:lang w:eastAsia="en-AU"/>
        </w:rPr>
      </w:pPr>
      <w:r>
        <w:rPr>
          <w:lang w:eastAsia="en-AU"/>
        </w:rPr>
        <w:t>I will now hand over to my colleague and social security law expert Joel Townsend to briefly outline the key pillars of our robo-debt test cases and our clients’ experiences of engaging with Centrelink.</w:t>
      </w:r>
    </w:p>
    <w:p w14:paraId="12C4FC9B" w14:textId="7E1E461B" w:rsidR="00FE1E39" w:rsidRDefault="00FE1E39" w:rsidP="00FE1E39">
      <w:pPr>
        <w:spacing w:after="160" w:line="259" w:lineRule="auto"/>
        <w:rPr>
          <w:b/>
          <w:bCs/>
          <w:lang w:eastAsia="en-AU"/>
        </w:rPr>
      </w:pPr>
      <w:r>
        <w:rPr>
          <w:b/>
          <w:bCs/>
          <w:lang w:eastAsia="en-AU"/>
        </w:rPr>
        <w:br w:type="page"/>
      </w:r>
      <w:r>
        <w:rPr>
          <w:b/>
          <w:bCs/>
          <w:lang w:eastAsia="en-AU"/>
        </w:rPr>
        <w:lastRenderedPageBreak/>
        <w:t>9/10/19</w:t>
      </w:r>
    </w:p>
    <w:p w14:paraId="40ABCBF5" w14:textId="27D4986D" w:rsidR="00FE1E39" w:rsidRPr="00FE1E39" w:rsidRDefault="00FE1E39" w:rsidP="00FE1E39">
      <w:pPr>
        <w:spacing w:after="200" w:line="300" w:lineRule="exact"/>
        <w:rPr>
          <w:rFonts w:eastAsia="MS Minngs" w:cs="Arial"/>
          <w:b/>
          <w:bCs/>
          <w:color w:val="000000" w:themeColor="text1"/>
          <w:kern w:val="32"/>
          <w:sz w:val="32"/>
          <w:szCs w:val="32"/>
          <w:lang w:eastAsia="en-AU"/>
        </w:rPr>
      </w:pPr>
      <w:r w:rsidRPr="00FE1E39">
        <w:rPr>
          <w:rFonts w:eastAsia="MS Minngs" w:cs="Arial"/>
          <w:b/>
          <w:bCs/>
          <w:color w:val="000000" w:themeColor="text1"/>
          <w:kern w:val="32"/>
          <w:sz w:val="32"/>
          <w:szCs w:val="32"/>
          <w:lang w:eastAsia="en-AU"/>
        </w:rPr>
        <w:t>Joel Townsend</w:t>
      </w:r>
      <w:r>
        <w:rPr>
          <w:rFonts w:eastAsia="MS Minngs" w:cs="Arial"/>
          <w:b/>
          <w:bCs/>
          <w:color w:val="000000" w:themeColor="text1"/>
          <w:kern w:val="32"/>
          <w:sz w:val="32"/>
          <w:szCs w:val="32"/>
          <w:lang w:eastAsia="en-AU"/>
        </w:rPr>
        <w:t>, Program Manager Economic and Social Rights</w:t>
      </w:r>
    </w:p>
    <w:p w14:paraId="19BC53AB" w14:textId="1DD0CE05" w:rsidR="00FE1E39" w:rsidRDefault="00FE1E39" w:rsidP="00FE1E39">
      <w:pPr>
        <w:spacing w:after="200" w:line="300" w:lineRule="exact"/>
        <w:rPr>
          <w:lang w:eastAsia="en-AU"/>
        </w:rPr>
      </w:pPr>
      <w:r>
        <w:rPr>
          <w:lang w:eastAsia="en-AU"/>
        </w:rPr>
        <w:t>Thank you. My name is Joel Townsend. I am the Program Manager of Economic and Social Rights at Victoria Legal Aid and a</w:t>
      </w:r>
      <w:r w:rsidR="00CF6006">
        <w:rPr>
          <w:lang w:eastAsia="en-AU"/>
        </w:rPr>
        <w:t xml:space="preserve"> Law Institute of Victoria</w:t>
      </w:r>
      <w:r>
        <w:rPr>
          <w:lang w:eastAsia="en-AU"/>
        </w:rPr>
        <w:t xml:space="preserve"> Accredited Specialist in Administrative Law.</w:t>
      </w:r>
    </w:p>
    <w:p w14:paraId="68E27C8B" w14:textId="77777777" w:rsidR="00FE1E39" w:rsidRDefault="00FE1E39" w:rsidP="00FE1E39">
      <w:pPr>
        <w:spacing w:after="200" w:line="300" w:lineRule="exact"/>
        <w:rPr>
          <w:lang w:eastAsia="en-AU"/>
        </w:rPr>
      </w:pPr>
      <w:r>
        <w:rPr>
          <w:lang w:eastAsia="en-AU"/>
        </w:rPr>
        <w:t xml:space="preserve">In addition to being unfair and inaccurate, in our view the robo-debt process is unlawful. We have four key concerns about robo-debt’s lawfulness currently before the Federal Court of Australia. At a high level, these are: </w:t>
      </w:r>
    </w:p>
    <w:p w14:paraId="53D0CDE4" w14:textId="77777777" w:rsidR="00FE1E39" w:rsidRDefault="00FE1E39" w:rsidP="00FE1E39">
      <w:pPr>
        <w:pStyle w:val="ListParagraph"/>
        <w:rPr>
          <w:lang w:eastAsia="en-AU"/>
        </w:rPr>
      </w:pPr>
      <w:r w:rsidRPr="00C31C2F">
        <w:rPr>
          <w:szCs w:val="22"/>
        </w:rPr>
        <w:t xml:space="preserve">First, </w:t>
      </w:r>
      <w:r>
        <w:rPr>
          <w:szCs w:val="22"/>
        </w:rPr>
        <w:t xml:space="preserve">averaging. </w:t>
      </w:r>
      <w:r>
        <w:rPr>
          <w:lang w:eastAsia="en-AU"/>
        </w:rPr>
        <w:t>Robo-debt’s averaging method of comparing fortnightly Centrelink data with yearly Australian Tax Office data is not a lawful way to conclude that a debt exists or to calculate an accurate amount.</w:t>
      </w:r>
    </w:p>
    <w:p w14:paraId="0C77852A" w14:textId="77777777" w:rsidR="00FE1E39" w:rsidRPr="00C31C2F" w:rsidRDefault="00FE1E39" w:rsidP="00FE1E39">
      <w:pPr>
        <w:pStyle w:val="ListParagraph"/>
        <w:rPr>
          <w:lang w:eastAsia="en-AU"/>
        </w:rPr>
      </w:pPr>
    </w:p>
    <w:p w14:paraId="603C4DDC" w14:textId="43AC3D0B" w:rsidR="00FE1E39" w:rsidRPr="00C31C2F" w:rsidRDefault="00FE1E39" w:rsidP="00FE1E39">
      <w:pPr>
        <w:pStyle w:val="ListParagraph"/>
      </w:pPr>
      <w:r>
        <w:rPr>
          <w:rFonts w:cs="Arial"/>
        </w:rPr>
        <w:t>S</w:t>
      </w:r>
      <w:r w:rsidRPr="00C31C2F">
        <w:t xml:space="preserve">econd, the reverse onus: </w:t>
      </w:r>
      <w:r w:rsidR="00DD54F0">
        <w:t>Shifting the onus on to individuals to show that they do not owe a debt is not a lawful way for Centrelink to proceed to rais</w:t>
      </w:r>
      <w:r w:rsidR="005447DF">
        <w:t xml:space="preserve">e a </w:t>
      </w:r>
      <w:r w:rsidR="00DD54F0">
        <w:t>debt.</w:t>
      </w:r>
      <w:r w:rsidR="004C04B9">
        <w:t xml:space="preserve"> If the </w:t>
      </w:r>
      <w:r w:rsidR="005447DF">
        <w:t>calculation</w:t>
      </w:r>
      <w:r w:rsidR="004C04B9">
        <w:t xml:space="preserve"> is inaccurate to start with </w:t>
      </w:r>
      <w:r w:rsidR="005447DF">
        <w:t>somebody’s</w:t>
      </w:r>
      <w:r w:rsidR="004C04B9">
        <w:t xml:space="preserve"> failure to engage does not</w:t>
      </w:r>
      <w:r w:rsidR="005447DF">
        <w:t xml:space="preserve"> provide a basis for raising a debt.</w:t>
      </w:r>
    </w:p>
    <w:p w14:paraId="0483D435" w14:textId="77777777" w:rsidR="00FE1E39" w:rsidRPr="00755AE3" w:rsidRDefault="00FE1E39" w:rsidP="00FE1E39">
      <w:pPr>
        <w:pStyle w:val="ListParagraph"/>
        <w:rPr>
          <w:rFonts w:cs="Arial"/>
          <w:szCs w:val="22"/>
        </w:rPr>
      </w:pPr>
    </w:p>
    <w:p w14:paraId="50709C37" w14:textId="77777777" w:rsidR="00FE1E39" w:rsidRPr="00C31C2F" w:rsidRDefault="00FE1E39" w:rsidP="00FE1E39">
      <w:pPr>
        <w:pStyle w:val="ListParagraph"/>
        <w:rPr>
          <w:rFonts w:cs="Arial"/>
          <w:szCs w:val="22"/>
        </w:rPr>
      </w:pPr>
      <w:r>
        <w:rPr>
          <w:rFonts w:cs="Arial"/>
          <w:szCs w:val="22"/>
        </w:rPr>
        <w:t xml:space="preserve">Third, penalty fees. Additional penalty fees are being imposed on people who are disputing an alleged debt or don’t know that the debt exists. Under the </w:t>
      </w:r>
      <w:r w:rsidRPr="002C557E">
        <w:rPr>
          <w:rFonts w:cs="Arial"/>
          <w:szCs w:val="22"/>
        </w:rPr>
        <w:t>A</w:t>
      </w:r>
      <w:r>
        <w:rPr>
          <w:rFonts w:cs="Arial"/>
          <w:szCs w:val="22"/>
        </w:rPr>
        <w:t>ct, a</w:t>
      </w:r>
      <w:r w:rsidRPr="002C557E">
        <w:rPr>
          <w:rFonts w:cs="Arial"/>
          <w:szCs w:val="22"/>
        </w:rPr>
        <w:t xml:space="preserve"> penalty fee should only be imposed where Centrelink </w:t>
      </w:r>
      <w:r>
        <w:rPr>
          <w:rFonts w:cs="Arial"/>
          <w:szCs w:val="22"/>
        </w:rPr>
        <w:t>is</w:t>
      </w:r>
      <w:r w:rsidRPr="002C557E">
        <w:rPr>
          <w:rFonts w:cs="Arial"/>
          <w:szCs w:val="22"/>
        </w:rPr>
        <w:t xml:space="preserve"> satisfied a person knowingly provide</w:t>
      </w:r>
      <w:r>
        <w:rPr>
          <w:rFonts w:cs="Arial"/>
          <w:szCs w:val="22"/>
        </w:rPr>
        <w:t xml:space="preserve">d misleading </w:t>
      </w:r>
      <w:r w:rsidRPr="002C557E">
        <w:rPr>
          <w:rFonts w:cs="Arial"/>
          <w:szCs w:val="22"/>
        </w:rPr>
        <w:t>information</w:t>
      </w:r>
      <w:r>
        <w:rPr>
          <w:rFonts w:cs="Arial"/>
          <w:szCs w:val="22"/>
        </w:rPr>
        <w:t xml:space="preserve">. </w:t>
      </w:r>
    </w:p>
    <w:p w14:paraId="0B25D535" w14:textId="77777777" w:rsidR="00FE1E39" w:rsidRPr="002C557E" w:rsidRDefault="00FE1E39" w:rsidP="00FE1E39">
      <w:pPr>
        <w:pStyle w:val="ListParagraph"/>
      </w:pPr>
    </w:p>
    <w:p w14:paraId="457102F5" w14:textId="7DF97A82" w:rsidR="00FE1E39" w:rsidRPr="00C31C2F" w:rsidRDefault="00FE1E39" w:rsidP="00FE1E39">
      <w:pPr>
        <w:pStyle w:val="ListParagraph"/>
      </w:pPr>
      <w:r w:rsidRPr="002C557E">
        <w:rPr>
          <w:rFonts w:cs="Arial"/>
          <w:szCs w:val="22"/>
        </w:rPr>
        <w:t xml:space="preserve">Finally, </w:t>
      </w:r>
      <w:r>
        <w:rPr>
          <w:rFonts w:cs="Arial"/>
          <w:szCs w:val="22"/>
        </w:rPr>
        <w:t>tax garnishing. Centrelink took our client Deanna Amato’s full tax refund of $1700. This is how she learned about her robo-debt of</w:t>
      </w:r>
      <w:r w:rsidR="004C04B9">
        <w:rPr>
          <w:rFonts w:cs="Arial"/>
          <w:szCs w:val="22"/>
        </w:rPr>
        <w:t xml:space="preserve"> over</w:t>
      </w:r>
      <w:r>
        <w:rPr>
          <w:rFonts w:cs="Arial"/>
          <w:szCs w:val="22"/>
        </w:rPr>
        <w:t xml:space="preserve"> $2700. After we launched a Federal Court test case, Centrelink recalculated her debt and said she only ever owed $1 and 48 cents. Garnishing a tax return should only occur after an accurate debt has been established and in compliance with the conditions in social security legislation.</w:t>
      </w:r>
    </w:p>
    <w:p w14:paraId="1B8B4D65" w14:textId="6E7C5487" w:rsidR="00FE1E39" w:rsidRPr="00C31C2F" w:rsidRDefault="00FE1E39" w:rsidP="00FE1E39">
      <w:pPr>
        <w:rPr>
          <w:lang w:eastAsia="en-AU"/>
        </w:rPr>
      </w:pPr>
      <w:r>
        <w:rPr>
          <w:lang w:eastAsia="en-AU"/>
        </w:rPr>
        <w:t>We surveyed a sample of clients. More than 80% reported difficulty in engaging with Centrelink. For our clients, this system is intimidating, confusing and hard to navigate. Calling Centrelink has not helped our clients to resolve their robo-debt issue</w:t>
      </w:r>
      <w:r w:rsidR="00FB769A">
        <w:rPr>
          <w:lang w:eastAsia="en-AU"/>
        </w:rPr>
        <w:t>s</w:t>
      </w:r>
      <w:r>
        <w:rPr>
          <w:lang w:eastAsia="en-AU"/>
        </w:rPr>
        <w:t>.</w:t>
      </w:r>
    </w:p>
    <w:p w14:paraId="4A24CDBE" w14:textId="2D942FB7" w:rsidR="00FE1E39" w:rsidRDefault="00FE1E39" w:rsidP="00FE1E39">
      <w:pPr>
        <w:rPr>
          <w:lang w:eastAsia="en-AU"/>
        </w:rPr>
      </w:pPr>
      <w:r>
        <w:rPr>
          <w:lang w:eastAsia="en-AU"/>
        </w:rPr>
        <w:t>According to Services Australia data</w:t>
      </w:r>
      <w:r w:rsidRPr="00EB5AFB">
        <w:rPr>
          <w:lang w:eastAsia="en-AU"/>
        </w:rPr>
        <w:t>, 30%</w:t>
      </w:r>
      <w:r>
        <w:rPr>
          <w:lang w:eastAsia="en-AU"/>
        </w:rPr>
        <w:t xml:space="preserve"> of people who receive robo-debt correspondence do not engage with Centrelink, and another 30% of people start but do not complete the process. From our practice, we know many </w:t>
      </w:r>
      <w:r w:rsidR="006A0F62">
        <w:rPr>
          <w:lang w:eastAsia="en-AU"/>
        </w:rPr>
        <w:t xml:space="preserve">people </w:t>
      </w:r>
      <w:r w:rsidR="003A6A4C">
        <w:rPr>
          <w:lang w:eastAsia="en-AU"/>
        </w:rPr>
        <w:t>have not</w:t>
      </w:r>
      <w:r>
        <w:rPr>
          <w:lang w:eastAsia="en-AU"/>
        </w:rPr>
        <w:t xml:space="preserve"> receive</w:t>
      </w:r>
      <w:r w:rsidR="003A6A4C">
        <w:rPr>
          <w:lang w:eastAsia="en-AU"/>
        </w:rPr>
        <w:t>d</w:t>
      </w:r>
      <w:r>
        <w:rPr>
          <w:lang w:eastAsia="en-AU"/>
        </w:rPr>
        <w:t xml:space="preserve"> letters sent to old addresses or </w:t>
      </w:r>
      <w:r w:rsidR="003A6A4C">
        <w:rPr>
          <w:lang w:eastAsia="en-AU"/>
        </w:rPr>
        <w:t xml:space="preserve">to </w:t>
      </w:r>
      <w:r>
        <w:rPr>
          <w:lang w:eastAsia="en-AU"/>
        </w:rPr>
        <w:t>unchecked MyGov accounts, or start the process of responding but can’t resolve it.</w:t>
      </w:r>
    </w:p>
    <w:p w14:paraId="00F5D8C1" w14:textId="7F28857C" w:rsidR="00FE1E39" w:rsidRDefault="00FE1E39" w:rsidP="00FE1E39">
      <w:pPr>
        <w:rPr>
          <w:lang w:eastAsia="en-AU"/>
        </w:rPr>
      </w:pPr>
      <w:r>
        <w:rPr>
          <w:lang w:eastAsia="en-AU"/>
        </w:rPr>
        <w:t>To wrap up, I would like to share one of our client’s experiences of dealing with Robo-debt, who needed legal help to reduce his debt by almost $5,000</w:t>
      </w:r>
      <w:r w:rsidR="003A6A4C">
        <w:rPr>
          <w:lang w:eastAsia="en-AU"/>
        </w:rPr>
        <w:t>. He said:</w:t>
      </w:r>
    </w:p>
    <w:p w14:paraId="728918B6" w14:textId="77777777" w:rsidR="00FE1E39" w:rsidRDefault="00FE1E39" w:rsidP="00FE1E39">
      <w:pPr>
        <w:rPr>
          <w:lang w:eastAsia="en-AU"/>
        </w:rPr>
      </w:pPr>
      <w:r>
        <w:rPr>
          <w:lang w:eastAsia="en-AU"/>
        </w:rPr>
        <w:t>“The whole thing was such a bad experience for me. I had a debt collector calling me. It took so much time and was very stressful. It was a big mountain on my head and so it felt like that was gone once the debt was reduced.”</w:t>
      </w:r>
    </w:p>
    <w:p w14:paraId="1085EB98" w14:textId="77777777" w:rsidR="00FE1E39" w:rsidRDefault="00FE1E39" w:rsidP="00FE1E39">
      <w:pPr>
        <w:rPr>
          <w:lang w:eastAsia="en-AU"/>
        </w:rPr>
      </w:pPr>
      <w:r>
        <w:rPr>
          <w:lang w:eastAsia="en-AU"/>
        </w:rPr>
        <w:t>We urge the Committee to seriously consider our recommendations to improve the system.</w:t>
      </w:r>
    </w:p>
    <w:p w14:paraId="7CABCD67" w14:textId="77777777" w:rsidR="00FE1E39" w:rsidRDefault="00FE1E39" w:rsidP="00FE1E39">
      <w:pPr>
        <w:spacing w:after="200" w:line="300" w:lineRule="exact"/>
        <w:rPr>
          <w:lang w:eastAsia="en-AU"/>
        </w:rPr>
      </w:pPr>
      <w:r>
        <w:rPr>
          <w:lang w:eastAsia="en-AU"/>
        </w:rPr>
        <w:t>Thank you.</w:t>
      </w:r>
    </w:p>
    <w:p w14:paraId="66D3D9B9" w14:textId="77777777" w:rsidR="00FE1E39" w:rsidRPr="00FE1E39" w:rsidRDefault="00FE1E39" w:rsidP="00FE1E39">
      <w:pPr>
        <w:rPr>
          <w:rFonts w:eastAsia="MS Minngs"/>
          <w:lang w:eastAsia="en-AU"/>
        </w:rPr>
      </w:pPr>
    </w:p>
    <w:sectPr w:rsidR="00FE1E39" w:rsidRPr="00FE1E39" w:rsidSect="00637318">
      <w:headerReference w:type="even" r:id="rId8"/>
      <w:headerReference w:type="default" r:id="rId9"/>
      <w:footerReference w:type="even" r:id="rId10"/>
      <w:footerReference w:type="default" r:id="rId11"/>
      <w:headerReference w:type="first" r:id="rId12"/>
      <w:footerReference w:type="first" r:id="rId13"/>
      <w:pgSz w:w="11900" w:h="16840" w:code="9"/>
      <w:pgMar w:top="1537" w:right="561" w:bottom="964" w:left="907"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6773" w14:textId="77777777" w:rsidR="001D10F4" w:rsidRDefault="001D10F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659F9E5" w14:textId="77777777" w:rsidR="001D10F4" w:rsidRDefault="001D10F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59D6" w14:textId="77777777" w:rsidR="00B7529D" w:rsidRDefault="00B752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F241B" w14:textId="77777777" w:rsidR="00B7529D" w:rsidRDefault="00B7529D" w:rsidP="008074B3">
    <w:pPr>
      <w:pStyle w:val="Footer"/>
      <w:ind w:right="360" w:firstLine="360"/>
    </w:pPr>
  </w:p>
  <w:p w14:paraId="74C916F2" w14:textId="77777777" w:rsidR="00B7529D" w:rsidRDefault="00B75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51C1" w14:textId="77777777" w:rsidR="00B7529D" w:rsidRPr="00400B4B" w:rsidRDefault="00B7529D" w:rsidP="00B81ECC">
    <w:pPr>
      <w:pStyle w:val="Footer"/>
      <w:pBdr>
        <w:top w:val="single" w:sz="4" w:space="1" w:color="auto"/>
      </w:pBdr>
      <w:tabs>
        <w:tab w:val="clear" w:pos="4153"/>
        <w:tab w:val="clear" w:pos="8306"/>
        <w:tab w:val="left" w:pos="1560"/>
        <w:tab w:val="right" w:pos="10206"/>
      </w:tabs>
      <w:ind w:right="-72"/>
      <w:rPr>
        <w:rFonts w:cs="Arial"/>
        <w:sz w:val="16"/>
        <w:szCs w:val="16"/>
      </w:rPr>
    </w:pPr>
    <w:r w:rsidRPr="00020EBC">
      <w:rPr>
        <w:rFonts w:cs="Arial"/>
        <w:snapToGrid w:val="0"/>
        <w:sz w:val="16"/>
        <w:szCs w:val="16"/>
      </w:rPr>
      <w:t>V</w:t>
    </w:r>
    <w:r>
      <w:rPr>
        <w:rFonts w:cs="Arial"/>
        <w:snapToGrid w:val="0"/>
        <w:sz w:val="16"/>
        <w:szCs w:val="16"/>
      </w:rPr>
      <w:t xml:space="preserve">ictoria Legal Aid </w:t>
    </w:r>
    <w:r>
      <w:rPr>
        <w:rFonts w:cs="Arial"/>
        <w:snapToGrid w:val="0"/>
        <w:sz w:val="16"/>
        <w:szCs w:val="16"/>
      </w:rPr>
      <w:tab/>
    </w:r>
    <w:hyperlink r:id="rId1" w:history="1">
      <w:r>
        <w:rPr>
          <w:rStyle w:val="Hyperlink"/>
          <w:rFonts w:cs="Arial"/>
          <w:snapToGrid w:val="0"/>
          <w:sz w:val="16"/>
          <w:szCs w:val="16"/>
        </w:rPr>
        <w:t>www.legalaid.vic.gov.au</w:t>
      </w:r>
    </w:hyperlink>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sidR="00F3670D">
      <w:rPr>
        <w:rStyle w:val="PageNumber"/>
        <w:rFonts w:cs="Arial"/>
        <w:noProof/>
        <w:sz w:val="16"/>
        <w:szCs w:val="16"/>
      </w:rPr>
      <w:t>1</w:t>
    </w:r>
    <w:r w:rsidRPr="00020EBC">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3CF" w14:textId="77777777" w:rsidR="00B7529D" w:rsidRPr="00D64551" w:rsidRDefault="00B7529D" w:rsidP="00D64551">
    <w:pPr>
      <w:pStyle w:val="Footer"/>
      <w:pBdr>
        <w:top w:val="single" w:sz="4" w:space="1" w:color="auto"/>
      </w:pBdr>
      <w:tabs>
        <w:tab w:val="clear" w:pos="4153"/>
        <w:tab w:val="clear" w:pos="8306"/>
        <w:tab w:val="right" w:pos="10206"/>
      </w:tabs>
      <w:ind w:right="-72"/>
      <w:rPr>
        <w:rFonts w:cs="Arial"/>
        <w:sz w:val="16"/>
        <w:szCs w:val="16"/>
      </w:rPr>
    </w:pPr>
    <w:r w:rsidRPr="00020EBC">
      <w:rPr>
        <w:rFonts w:cs="Arial"/>
        <w:snapToGrid w:val="0"/>
        <w:sz w:val="16"/>
        <w:szCs w:val="16"/>
      </w:rPr>
      <w:t>V</w:t>
    </w:r>
    <w:r>
      <w:rPr>
        <w:rFonts w:cs="Arial"/>
        <w:snapToGrid w:val="0"/>
        <w:sz w:val="16"/>
        <w:szCs w:val="16"/>
      </w:rPr>
      <w:t>ictoria Legal Aid</w:t>
    </w:r>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Pr>
        <w:rStyle w:val="PageNumber"/>
        <w:rFonts w:cs="Arial"/>
        <w:noProof/>
        <w:sz w:val="16"/>
        <w:szCs w:val="16"/>
      </w:rPr>
      <w:t>1</w:t>
    </w:r>
    <w:r w:rsidRPr="00020EB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F046" w14:textId="77777777" w:rsidR="001D10F4" w:rsidRDefault="001D10F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0040715" w14:textId="77777777" w:rsidR="001D10F4" w:rsidRDefault="001D10F4"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C85C" w14:textId="77777777" w:rsidR="00B7529D" w:rsidRDefault="00B752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F5BAC" w14:textId="77777777" w:rsidR="00B7529D" w:rsidRDefault="00B7529D" w:rsidP="00091AFC">
    <w:pPr>
      <w:pStyle w:val="Header"/>
      <w:ind w:right="360"/>
    </w:pPr>
  </w:p>
  <w:p w14:paraId="746C9ED6" w14:textId="77777777" w:rsidR="00B7529D" w:rsidRDefault="00B75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7C3F" w14:textId="7F63C212" w:rsidR="00B7529D" w:rsidRPr="00D64551" w:rsidRDefault="00B7529D" w:rsidP="00692047">
    <w:pPr>
      <w:pStyle w:val="Heading1"/>
      <w:spacing w:before="400" w:after="0" w:line="0" w:lineRule="atLeast"/>
      <w:ind w:right="369"/>
      <w:rPr>
        <w:sz w:val="48"/>
        <w:szCs w:val="48"/>
      </w:rPr>
    </w:pPr>
    <w:r w:rsidRPr="00D64551">
      <w:rPr>
        <w:noProof/>
        <w:color w:val="FFFFFF" w:themeColor="background1"/>
        <w:sz w:val="48"/>
        <w:szCs w:val="48"/>
      </w:rPr>
      <w:drawing>
        <wp:anchor distT="0" distB="0" distL="114300" distR="114300" simplePos="0" relativeHeight="251670016" behindDoc="0" locked="0" layoutInCell="1" allowOverlap="1" wp14:anchorId="10EBEB69" wp14:editId="45B2D943">
          <wp:simplePos x="0" y="0"/>
          <wp:positionH relativeFrom="column">
            <wp:posOffset>4400550</wp:posOffset>
          </wp:positionH>
          <wp:positionV relativeFrom="page">
            <wp:posOffset>290195</wp:posOffset>
          </wp:positionV>
          <wp:extent cx="2147570" cy="340360"/>
          <wp:effectExtent l="0" t="0" r="11430" b="0"/>
          <wp:wrapNone/>
          <wp:docPr id="6" name="Picture 6"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E1E39">
      <w:rPr>
        <w:sz w:val="48"/>
        <w:szCs w:val="48"/>
      </w:rPr>
      <w:t xml:space="preserve">Opening </w:t>
    </w:r>
    <w:r w:rsidR="00C16FE8">
      <w:rPr>
        <w:sz w:val="48"/>
        <w:szCs w:val="48"/>
      </w:rPr>
      <w:t>s</w:t>
    </w:r>
    <w:r w:rsidR="00017EE0">
      <w:rPr>
        <w:sz w:val="48"/>
        <w:szCs w:val="48"/>
      </w:rPr>
      <w:t>tatement</w:t>
    </w:r>
  </w:p>
  <w:p w14:paraId="151F535B" w14:textId="77777777" w:rsidR="00B7529D" w:rsidRPr="00D64551" w:rsidRDefault="00B7529D" w:rsidP="00692047">
    <w:pPr>
      <w:pBdr>
        <w:bottom w:val="single" w:sz="4" w:space="1" w:color="auto"/>
      </w:pBdr>
      <w:spacing w:after="240"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8C1" w14:textId="77777777" w:rsidR="00B7529D" w:rsidRPr="00D64551" w:rsidRDefault="00B7529D" w:rsidP="00D64551">
    <w:pPr>
      <w:pStyle w:val="Heading1"/>
      <w:spacing w:before="480" w:line="0" w:lineRule="atLeast"/>
      <w:ind w:right="369"/>
      <w:rPr>
        <w:sz w:val="48"/>
        <w:szCs w:val="48"/>
      </w:rPr>
    </w:pPr>
    <w:r w:rsidRPr="00D64551">
      <w:rPr>
        <w:noProof/>
        <w:color w:val="FFFFFF" w:themeColor="background1"/>
        <w:sz w:val="48"/>
        <w:szCs w:val="48"/>
      </w:rPr>
      <w:drawing>
        <wp:anchor distT="0" distB="0" distL="114300" distR="114300" simplePos="0" relativeHeight="251663360" behindDoc="0" locked="0" layoutInCell="1" allowOverlap="1" wp14:anchorId="7945A911" wp14:editId="0073E731">
          <wp:simplePos x="0" y="0"/>
          <wp:positionH relativeFrom="column">
            <wp:posOffset>4400550</wp:posOffset>
          </wp:positionH>
          <wp:positionV relativeFrom="paragraph">
            <wp:posOffset>346075</wp:posOffset>
          </wp:positionV>
          <wp:extent cx="2147570" cy="340360"/>
          <wp:effectExtent l="0" t="0" r="11430" b="0"/>
          <wp:wrapThrough wrapText="bothSides">
            <wp:wrapPolygon edited="0">
              <wp:start x="0" y="0"/>
              <wp:lineTo x="0" y="19343"/>
              <wp:lineTo x="21459" y="19343"/>
              <wp:lineTo x="21459" y="0"/>
              <wp:lineTo x="0" y="0"/>
            </wp:wrapPolygon>
          </wp:wrapThrough>
          <wp:docPr id="5" name="Picture 5"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551">
      <w:rPr>
        <w:sz w:val="48"/>
        <w:szCs w:val="48"/>
      </w:rPr>
      <w:t>Media release</w:t>
    </w:r>
  </w:p>
  <w:p w14:paraId="6EA77275" w14:textId="77777777" w:rsidR="00B7529D" w:rsidRPr="00D64551" w:rsidRDefault="00B7529D" w:rsidP="00D64551">
    <w:pPr>
      <w:pBdr>
        <w:bottom w:val="single" w:sz="4" w:space="1" w:color="auto"/>
      </w:pBd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F87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E1E39"/>
    <w:rsid w:val="000078CE"/>
    <w:rsid w:val="00017EE0"/>
    <w:rsid w:val="00034BE6"/>
    <w:rsid w:val="000360EC"/>
    <w:rsid w:val="00040F0B"/>
    <w:rsid w:val="00057FDC"/>
    <w:rsid w:val="00065F7B"/>
    <w:rsid w:val="000759A6"/>
    <w:rsid w:val="00091432"/>
    <w:rsid w:val="00091AFC"/>
    <w:rsid w:val="00094FE1"/>
    <w:rsid w:val="000A1C94"/>
    <w:rsid w:val="000C6955"/>
    <w:rsid w:val="000E1BEB"/>
    <w:rsid w:val="00151B7E"/>
    <w:rsid w:val="0015359B"/>
    <w:rsid w:val="00160C7E"/>
    <w:rsid w:val="0017743C"/>
    <w:rsid w:val="00181303"/>
    <w:rsid w:val="0018568B"/>
    <w:rsid w:val="00185E5D"/>
    <w:rsid w:val="001A2999"/>
    <w:rsid w:val="001D10F4"/>
    <w:rsid w:val="0021722B"/>
    <w:rsid w:val="00244990"/>
    <w:rsid w:val="002B73A4"/>
    <w:rsid w:val="002C26D8"/>
    <w:rsid w:val="002F7860"/>
    <w:rsid w:val="00306C10"/>
    <w:rsid w:val="00310DD1"/>
    <w:rsid w:val="00315C03"/>
    <w:rsid w:val="003224F8"/>
    <w:rsid w:val="003315F4"/>
    <w:rsid w:val="00360994"/>
    <w:rsid w:val="003655D7"/>
    <w:rsid w:val="0037081E"/>
    <w:rsid w:val="003923C8"/>
    <w:rsid w:val="003A6A4C"/>
    <w:rsid w:val="00400B4B"/>
    <w:rsid w:val="00402557"/>
    <w:rsid w:val="004158B6"/>
    <w:rsid w:val="00427C16"/>
    <w:rsid w:val="004421BD"/>
    <w:rsid w:val="0044326A"/>
    <w:rsid w:val="00443649"/>
    <w:rsid w:val="004707EF"/>
    <w:rsid w:val="004C04B9"/>
    <w:rsid w:val="004C1FA1"/>
    <w:rsid w:val="004C75B1"/>
    <w:rsid w:val="004D7100"/>
    <w:rsid w:val="00504F13"/>
    <w:rsid w:val="005317C2"/>
    <w:rsid w:val="005447DF"/>
    <w:rsid w:val="00546C0D"/>
    <w:rsid w:val="005B1640"/>
    <w:rsid w:val="005B3D02"/>
    <w:rsid w:val="005C1DFD"/>
    <w:rsid w:val="005D19C7"/>
    <w:rsid w:val="005D4A19"/>
    <w:rsid w:val="005D5C9C"/>
    <w:rsid w:val="005D7410"/>
    <w:rsid w:val="0061496D"/>
    <w:rsid w:val="00616171"/>
    <w:rsid w:val="00637318"/>
    <w:rsid w:val="00640AE9"/>
    <w:rsid w:val="0066019E"/>
    <w:rsid w:val="00675F66"/>
    <w:rsid w:val="006764E3"/>
    <w:rsid w:val="00680746"/>
    <w:rsid w:val="00692047"/>
    <w:rsid w:val="006A00A7"/>
    <w:rsid w:val="006A0F62"/>
    <w:rsid w:val="006A6FC6"/>
    <w:rsid w:val="006B35B8"/>
    <w:rsid w:val="006B3F5E"/>
    <w:rsid w:val="006B612D"/>
    <w:rsid w:val="006B6E7E"/>
    <w:rsid w:val="006F181A"/>
    <w:rsid w:val="006F2D6F"/>
    <w:rsid w:val="00714549"/>
    <w:rsid w:val="00724661"/>
    <w:rsid w:val="0075348F"/>
    <w:rsid w:val="00781FFA"/>
    <w:rsid w:val="0078739B"/>
    <w:rsid w:val="007A5D3B"/>
    <w:rsid w:val="007A7D06"/>
    <w:rsid w:val="007B0612"/>
    <w:rsid w:val="007D5BA7"/>
    <w:rsid w:val="008074B3"/>
    <w:rsid w:val="0082595B"/>
    <w:rsid w:val="00833658"/>
    <w:rsid w:val="00847377"/>
    <w:rsid w:val="00856DA8"/>
    <w:rsid w:val="008636E1"/>
    <w:rsid w:val="008958CB"/>
    <w:rsid w:val="00896E60"/>
    <w:rsid w:val="008A1E5F"/>
    <w:rsid w:val="008B2419"/>
    <w:rsid w:val="008C388A"/>
    <w:rsid w:val="008C513F"/>
    <w:rsid w:val="008F4DC6"/>
    <w:rsid w:val="00940793"/>
    <w:rsid w:val="0099270D"/>
    <w:rsid w:val="009A74F1"/>
    <w:rsid w:val="009B0D09"/>
    <w:rsid w:val="009B29A4"/>
    <w:rsid w:val="009B59BF"/>
    <w:rsid w:val="009D539D"/>
    <w:rsid w:val="009E1AC3"/>
    <w:rsid w:val="009F0AA0"/>
    <w:rsid w:val="00A11120"/>
    <w:rsid w:val="00A4395A"/>
    <w:rsid w:val="00A52F29"/>
    <w:rsid w:val="00A93509"/>
    <w:rsid w:val="00AB5376"/>
    <w:rsid w:val="00AB7B88"/>
    <w:rsid w:val="00AC3D95"/>
    <w:rsid w:val="00AD392B"/>
    <w:rsid w:val="00B044A6"/>
    <w:rsid w:val="00B7529D"/>
    <w:rsid w:val="00B81ECC"/>
    <w:rsid w:val="00B85795"/>
    <w:rsid w:val="00BA0981"/>
    <w:rsid w:val="00BB122F"/>
    <w:rsid w:val="00BD3470"/>
    <w:rsid w:val="00BD3873"/>
    <w:rsid w:val="00BE36EB"/>
    <w:rsid w:val="00C15A40"/>
    <w:rsid w:val="00C16B80"/>
    <w:rsid w:val="00C16FE8"/>
    <w:rsid w:val="00C172BD"/>
    <w:rsid w:val="00C33AEF"/>
    <w:rsid w:val="00C415B1"/>
    <w:rsid w:val="00C61CB5"/>
    <w:rsid w:val="00C64A61"/>
    <w:rsid w:val="00C81372"/>
    <w:rsid w:val="00C84D28"/>
    <w:rsid w:val="00CB48F9"/>
    <w:rsid w:val="00CC0626"/>
    <w:rsid w:val="00CC216F"/>
    <w:rsid w:val="00CF2D05"/>
    <w:rsid w:val="00CF6006"/>
    <w:rsid w:val="00D30B8E"/>
    <w:rsid w:val="00D5535B"/>
    <w:rsid w:val="00D63AB2"/>
    <w:rsid w:val="00D64551"/>
    <w:rsid w:val="00D75C29"/>
    <w:rsid w:val="00D82005"/>
    <w:rsid w:val="00DB07C5"/>
    <w:rsid w:val="00DC01DC"/>
    <w:rsid w:val="00DD38BF"/>
    <w:rsid w:val="00DD54F0"/>
    <w:rsid w:val="00DD5EE1"/>
    <w:rsid w:val="00DE037E"/>
    <w:rsid w:val="00DE3C33"/>
    <w:rsid w:val="00E2050E"/>
    <w:rsid w:val="00E4595D"/>
    <w:rsid w:val="00E802A2"/>
    <w:rsid w:val="00E865F8"/>
    <w:rsid w:val="00E91720"/>
    <w:rsid w:val="00E92D5D"/>
    <w:rsid w:val="00EF4FC5"/>
    <w:rsid w:val="00EF7C5C"/>
    <w:rsid w:val="00F0005B"/>
    <w:rsid w:val="00F14EC8"/>
    <w:rsid w:val="00F3670D"/>
    <w:rsid w:val="00F63972"/>
    <w:rsid w:val="00F77E0F"/>
    <w:rsid w:val="00F825B6"/>
    <w:rsid w:val="00FB3760"/>
    <w:rsid w:val="00FB769A"/>
    <w:rsid w:val="00FE1E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B4DC7"/>
  <w15:docId w15:val="{647A71A0-E790-4E81-9B83-5AFEE35E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D64551"/>
    <w:pPr>
      <w:keepNext/>
      <w:spacing w:before="240" w:after="120" w:line="300" w:lineRule="atLeast"/>
      <w:outlineLvl w:val="0"/>
    </w:pPr>
    <w:rPr>
      <w:rFonts w:ascii="Arial" w:eastAsia="Times New Roman" w:hAnsi="Arial" w:cs="Arial"/>
      <w:b/>
      <w:bCs/>
      <w:color w:val="000000" w:themeColor="text1"/>
      <w:kern w:val="32"/>
      <w:sz w:val="32"/>
      <w:szCs w:val="32"/>
      <w:lang w:eastAsia="en-AU"/>
    </w:rPr>
  </w:style>
  <w:style w:type="paragraph" w:styleId="Heading2">
    <w:name w:val="heading 2"/>
    <w:next w:val="Normal"/>
    <w:qFormat/>
    <w:rsid w:val="00D64551"/>
    <w:pPr>
      <w:keepNext/>
      <w:spacing w:before="240" w:after="120" w:line="300" w:lineRule="atLeast"/>
      <w:outlineLvl w:val="1"/>
    </w:pPr>
    <w:rPr>
      <w:rFonts w:ascii="Arial" w:eastAsia="Times New Roman" w:hAnsi="Arial" w:cs="Arial"/>
      <w:b/>
      <w:bCs/>
      <w:iCs/>
      <w:color w:val="000000" w:themeColor="text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400B4B"/>
    <w:pPr>
      <w:pBdr>
        <w:bottom w:val="single" w:sz="4" w:space="1" w:color="000000" w:themeColor="text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400B4B"/>
    <w:pPr>
      <w:spacing w:before="240" w:after="240" w:line="300" w:lineRule="atLeast"/>
    </w:pPr>
    <w:rPr>
      <w:rFonts w:ascii="Arial" w:eastAsia="Times New Roman" w:hAnsi="Arial" w:cs="Arial"/>
      <w:b/>
      <w:bCs/>
      <w:color w:val="000000" w:themeColor="text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400B4B"/>
    <w:pPr>
      <w:spacing w:before="160" w:after="40" w:line="300" w:lineRule="atLeast"/>
    </w:pPr>
    <w:rPr>
      <w:rFonts w:ascii="Arial" w:eastAsia="Times New Roman" w:hAnsi="Arial" w:cs="Arial"/>
      <w:b/>
      <w:bCs/>
      <w:iCs/>
      <w:color w:val="000000" w:themeColor="text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400B4B"/>
    <w:pPr>
      <w:numPr>
        <w:numId w:val="22"/>
      </w:numPr>
      <w:spacing w:before="240" w:after="240" w:line="280" w:lineRule="exact"/>
    </w:pPr>
    <w:rPr>
      <w:rFonts w:ascii="Arial" w:eastAsia="Times New Roman" w:hAnsi="Arial" w:cs="Arial"/>
      <w:b/>
      <w:bCs/>
      <w:color w:val="000000" w:themeColor="text1"/>
      <w:kern w:val="32"/>
      <w:sz w:val="28"/>
      <w:szCs w:val="32"/>
      <w:lang w:eastAsia="en-AU"/>
    </w:rPr>
  </w:style>
  <w:style w:type="paragraph" w:customStyle="1" w:styleId="VLAdivision">
    <w:name w:val="VLA division"/>
    <w:basedOn w:val="Normal"/>
    <w:next w:val="VLAauthor"/>
    <w:rsid w:val="00400B4B"/>
    <w:pPr>
      <w:spacing w:before="60" w:after="240"/>
    </w:pPr>
    <w:rPr>
      <w:b/>
      <w:color w:val="000000" w:themeColor="text1"/>
      <w:sz w:val="28"/>
      <w:szCs w:val="28"/>
      <w:lang w:eastAsia="en-AU"/>
    </w:rPr>
  </w:style>
  <w:style w:type="paragraph" w:customStyle="1" w:styleId="VLAauthor">
    <w:name w:val="VLA author"/>
    <w:basedOn w:val="Normal"/>
    <w:next w:val="VLAdivision"/>
    <w:rsid w:val="00400B4B"/>
    <w:pPr>
      <w:spacing w:before="240" w:after="60"/>
    </w:pPr>
    <w:rPr>
      <w:b/>
      <w:color w:val="000000" w:themeColor="text1"/>
      <w:sz w:val="28"/>
      <w:szCs w:val="28"/>
      <w:lang w:eastAsia="en-AU"/>
    </w:rPr>
  </w:style>
  <w:style w:type="paragraph" w:customStyle="1" w:styleId="Contents">
    <w:name w:val="Contents"/>
    <w:basedOn w:val="VLAdivision"/>
    <w:next w:val="Normal"/>
    <w:rsid w:val="00400B4B"/>
  </w:style>
  <w:style w:type="paragraph" w:customStyle="1" w:styleId="Filename">
    <w:name w:val="Filename"/>
    <w:basedOn w:val="Normal"/>
    <w:rsid w:val="00400B4B"/>
    <w:pPr>
      <w:pBdr>
        <w:top w:val="single" w:sz="4" w:space="1" w:color="000000" w:themeColor="text1"/>
      </w:pBdr>
      <w:tabs>
        <w:tab w:val="right" w:pos="9240"/>
      </w:tabs>
    </w:pPr>
    <w:rPr>
      <w:sz w:val="18"/>
    </w:rPr>
  </w:style>
  <w:style w:type="paragraph" w:styleId="Title">
    <w:name w:val="Title"/>
    <w:link w:val="TitleChar"/>
    <w:qFormat/>
    <w:locked/>
    <w:rsid w:val="00400B4B"/>
    <w:pPr>
      <w:spacing w:before="2000" w:after="240" w:line="400" w:lineRule="exact"/>
      <w:outlineLvl w:val="0"/>
    </w:pPr>
    <w:rPr>
      <w:rFonts w:ascii="Arial Bold" w:eastAsia="Times New Roman" w:hAnsi="Arial Bold" w:cs="Arial"/>
      <w:b/>
      <w:bCs/>
      <w:color w:val="000000" w:themeColor="text1"/>
      <w:kern w:val="28"/>
      <w:sz w:val="36"/>
      <w:szCs w:val="32"/>
    </w:rPr>
  </w:style>
  <w:style w:type="character" w:customStyle="1" w:styleId="TitleChar">
    <w:name w:val="Title Char"/>
    <w:link w:val="Title"/>
    <w:rsid w:val="00400B4B"/>
    <w:rPr>
      <w:rFonts w:ascii="Arial Bold" w:eastAsia="Times New Roman" w:hAnsi="Arial Bold" w:cs="Arial"/>
      <w:b/>
      <w:bCs/>
      <w:color w:val="000000" w:themeColor="text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BalloonText">
    <w:name w:val="Balloon Text"/>
    <w:basedOn w:val="Normal"/>
    <w:link w:val="BalloonTextChar"/>
    <w:semiHidden/>
    <w:unhideWhenUsed/>
    <w:rsid w:val="00FE1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1E39"/>
    <w:rPr>
      <w:rFonts w:ascii="Segoe UI" w:eastAsia="Times New Roman" w:hAnsi="Segoe UI" w:cs="Segoe UI"/>
      <w:sz w:val="18"/>
      <w:szCs w:val="18"/>
    </w:rPr>
  </w:style>
  <w:style w:type="paragraph" w:styleId="ListParagraph">
    <w:name w:val="List Paragraph"/>
    <w:basedOn w:val="Normal"/>
    <w:uiPriority w:val="34"/>
    <w:qFormat/>
    <w:rsid w:val="00FE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alaid.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28E5-775D-478E-AE05-340775E2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4641</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5534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 - Senate Committe looking into robo-debt</dc:title>
  <dc:subject/>
  <dc:creator>Victoria Legal Aid</dc:creator>
  <cp:keywords/>
  <dc:description/>
  <cp:lastModifiedBy>Gabrielle Mundana</cp:lastModifiedBy>
  <cp:revision>2</cp:revision>
  <dcterms:created xsi:type="dcterms:W3CDTF">2022-02-23T00:45:00Z</dcterms:created>
  <dcterms:modified xsi:type="dcterms:W3CDTF">2022-02-23T00:45:00Z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