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262C" w14:textId="798A8670" w:rsidR="00E50B26" w:rsidRDefault="001137ED" w:rsidP="00E50B26">
      <w:pPr>
        <w:pStyle w:val="Heading1"/>
      </w:pPr>
      <w:r>
        <w:t>Drug and Alcohol Treatment Orders in the Magistrates’ Court</w:t>
      </w:r>
    </w:p>
    <w:p w14:paraId="5855B09B" w14:textId="3537CA38" w:rsidR="00AA3C8D" w:rsidRDefault="001137ED" w:rsidP="00AA3C8D">
      <w:pPr>
        <w:pStyle w:val="Heading2"/>
      </w:pPr>
      <w:r>
        <w:t>Information for Lawyers</w:t>
      </w:r>
    </w:p>
    <w:p w14:paraId="6A65203E" w14:textId="6FDA4271" w:rsidR="001137ED" w:rsidRPr="000A2FBE" w:rsidRDefault="001137ED" w:rsidP="00D861C5">
      <w:pPr>
        <w:pStyle w:val="ListBullet"/>
        <w:numPr>
          <w:ilvl w:val="0"/>
          <w:numId w:val="0"/>
        </w:numPr>
        <w:outlineLvl w:val="2"/>
      </w:pPr>
      <w:r>
        <w:rPr>
          <w:b/>
          <w:bCs/>
        </w:rPr>
        <w:t>Mandatory criteria for a Drug and Alcohol Treatment Order (DATO)</w:t>
      </w:r>
      <w:r w:rsidR="00F961F0" w:rsidRPr="003B0DC7">
        <w:t xml:space="preserve"> </w:t>
      </w:r>
    </w:p>
    <w:p w14:paraId="2CD7F5F6" w14:textId="0E6E230E" w:rsidR="001137ED" w:rsidRDefault="001137ED" w:rsidP="001137ED">
      <w:pPr>
        <w:pStyle w:val="ListBullet"/>
      </w:pPr>
      <w:r w:rsidRPr="001137ED">
        <w:rPr>
          <w:b/>
          <w:bCs/>
        </w:rPr>
        <w:t>Guilty plea</w:t>
      </w:r>
      <w:r>
        <w:t xml:space="preserve"> - Your client must be pleading guilty to all charges before the Drug Court</w:t>
      </w:r>
      <w:r>
        <w:rPr>
          <w:rStyle w:val="FootnoteReference"/>
        </w:rPr>
        <w:footnoteReference w:id="1"/>
      </w:r>
      <w:r>
        <w:t xml:space="preserve">. Disputed charges must be resolved by summary case conferencing before </w:t>
      </w:r>
      <w:r w:rsidR="004C4DBF">
        <w:t>referral</w:t>
      </w:r>
      <w:r>
        <w:t xml:space="preserve"> to the Drug Court. </w:t>
      </w:r>
    </w:p>
    <w:p w14:paraId="22A9685A" w14:textId="2B944150" w:rsidR="001137ED" w:rsidRDefault="001137ED" w:rsidP="001137ED">
      <w:pPr>
        <w:pStyle w:val="ListBullet"/>
      </w:pPr>
      <w:r w:rsidRPr="001137ED">
        <w:rPr>
          <w:b/>
          <w:bCs/>
        </w:rPr>
        <w:t>Link to drug or alcohol dependency</w:t>
      </w:r>
      <w:r>
        <w:t xml:space="preserve"> - The Drug Court must be satisfied on the balance of probabilities that your client is dependent on drugs or alcohol and </w:t>
      </w:r>
      <w:r w:rsidR="004C4DBF">
        <w:t xml:space="preserve">that </w:t>
      </w:r>
      <w:r>
        <w:t>the dependency contributed to the commission of the offence</w:t>
      </w:r>
      <w:r>
        <w:rPr>
          <w:rStyle w:val="FootnoteReference"/>
        </w:rPr>
        <w:footnoteReference w:id="2"/>
      </w:r>
      <w:r>
        <w:t xml:space="preserve">. </w:t>
      </w:r>
    </w:p>
    <w:p w14:paraId="5568A503" w14:textId="73DED805" w:rsidR="001137ED" w:rsidRDefault="001137ED" w:rsidP="001137ED">
      <w:pPr>
        <w:pStyle w:val="ListBullet"/>
      </w:pPr>
      <w:r w:rsidRPr="001137ED">
        <w:rPr>
          <w:b/>
          <w:bCs/>
        </w:rPr>
        <w:t>A prison sentence would otherwise be appropriate</w:t>
      </w:r>
      <w:r>
        <w:t xml:space="preserve"> – The offending would ordinarily attract a prison sentence not exceeding two years</w:t>
      </w:r>
      <w:r>
        <w:rPr>
          <w:rStyle w:val="FootnoteReference"/>
        </w:rPr>
        <w:footnoteReference w:id="3"/>
      </w:r>
      <w:r>
        <w:t>.</w:t>
      </w:r>
    </w:p>
    <w:p w14:paraId="44CC5FAC" w14:textId="5BE86714" w:rsidR="001137ED" w:rsidRDefault="001137ED" w:rsidP="001137ED">
      <w:pPr>
        <w:pStyle w:val="ListBullet"/>
      </w:pPr>
      <w:r>
        <w:rPr>
          <w:b/>
          <w:bCs/>
        </w:rPr>
        <w:t xml:space="preserve">Consent to a DATO </w:t>
      </w:r>
      <w:r>
        <w:t>– Your client must agree to the making of the DATO and to comply with the treatment and supervision part of the order</w:t>
      </w:r>
      <w:r>
        <w:rPr>
          <w:rStyle w:val="FootnoteReference"/>
        </w:rPr>
        <w:footnoteReference w:id="4"/>
      </w:r>
      <w:r>
        <w:t>.</w:t>
      </w:r>
    </w:p>
    <w:p w14:paraId="30E86659" w14:textId="729B2AC9" w:rsidR="008303A2" w:rsidRDefault="001137ED" w:rsidP="008303A2">
      <w:pPr>
        <w:pStyle w:val="ListBullet"/>
      </w:pPr>
      <w:r w:rsidRPr="00163141">
        <w:rPr>
          <w:b/>
          <w:bCs/>
        </w:rPr>
        <w:t>Catchment area</w:t>
      </w:r>
      <w:r>
        <w:t xml:space="preserve"> – Your client’s usual place of residence</w:t>
      </w:r>
      <w:r w:rsidR="00CF57E3">
        <w:t xml:space="preserve"> (</w:t>
      </w:r>
      <w:r>
        <w:t>if they have one</w:t>
      </w:r>
      <w:r w:rsidR="00CF57E3">
        <w:t>)</w:t>
      </w:r>
      <w:r>
        <w:t xml:space="preserve"> must be within the </w:t>
      </w:r>
      <w:hyperlink r:id="rId8" w:history="1">
        <w:r w:rsidR="00CF57E3" w:rsidRPr="00CF57E3">
          <w:rPr>
            <w:rStyle w:val="Hyperlink"/>
          </w:rPr>
          <w:t>gazetted catchment area of a Drug Court</w:t>
        </w:r>
      </w:hyperlink>
      <w:r>
        <w:rPr>
          <w:rStyle w:val="FootnoteReference"/>
        </w:rPr>
        <w:footnoteReference w:id="5"/>
      </w:r>
      <w:r>
        <w:t xml:space="preserve">. </w:t>
      </w:r>
      <w:r w:rsidR="00CF57E3">
        <w:t>If your client is homeless or does not have an ordinary place of residence, they may apply to access Drug Court. A decision will be made by a magistrate in relation to eligibility and suitability based on a wide range of factors including available accommodation options and your client’s capacity and ability to access Drug Court premises.</w:t>
      </w:r>
    </w:p>
    <w:p w14:paraId="3D1F4402" w14:textId="5451F1EF" w:rsidR="001137ED" w:rsidRPr="001137ED" w:rsidRDefault="001137ED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r>
        <w:rPr>
          <w:b/>
          <w:bCs/>
        </w:rPr>
        <w:t>When</w:t>
      </w:r>
      <w:r w:rsidRPr="001137ED">
        <w:rPr>
          <w:b/>
          <w:bCs/>
        </w:rPr>
        <w:t xml:space="preserve"> a DATO </w:t>
      </w:r>
      <w:r>
        <w:rPr>
          <w:b/>
          <w:bCs/>
        </w:rPr>
        <w:t>cannot be made</w:t>
      </w:r>
    </w:p>
    <w:p w14:paraId="6F96E957" w14:textId="6674947B" w:rsidR="001137ED" w:rsidRDefault="004C4DBF" w:rsidP="001137ED">
      <w:pPr>
        <w:pStyle w:val="ListBullet"/>
      </w:pPr>
      <w:r>
        <w:t>For a sexual offence or an offence causing actual bodily harm unless that harm is of a minor nature</w:t>
      </w:r>
      <w:r>
        <w:rPr>
          <w:rStyle w:val="FootnoteReference"/>
        </w:rPr>
        <w:footnoteReference w:id="6"/>
      </w:r>
      <w:r>
        <w:t>.</w:t>
      </w:r>
    </w:p>
    <w:p w14:paraId="21713164" w14:textId="1E0B7516" w:rsidR="004C4DBF" w:rsidRDefault="004C4DBF" w:rsidP="001137ED">
      <w:pPr>
        <w:pStyle w:val="ListBullet"/>
      </w:pPr>
      <w:r>
        <w:t>If your client is on parole or subject to a sentence of the County or Supreme Courts</w:t>
      </w:r>
      <w:r>
        <w:rPr>
          <w:rStyle w:val="FootnoteReference"/>
        </w:rPr>
        <w:footnoteReference w:id="7"/>
      </w:r>
      <w:r>
        <w:t>.</w:t>
      </w:r>
    </w:p>
    <w:p w14:paraId="44CF1F77" w14:textId="58F6FB96" w:rsidR="0000281B" w:rsidRDefault="004C4DBF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r w:rsidRPr="004C4DBF">
        <w:rPr>
          <w:b/>
          <w:bCs/>
        </w:rPr>
        <w:t>What your client should know about</w:t>
      </w:r>
      <w:r>
        <w:t xml:space="preserve"> </w:t>
      </w:r>
      <w:r w:rsidRPr="001137ED">
        <w:rPr>
          <w:b/>
          <w:bCs/>
        </w:rPr>
        <w:t>a DATO</w:t>
      </w:r>
    </w:p>
    <w:p w14:paraId="2C13D05B" w14:textId="625A3821" w:rsidR="004C4DBF" w:rsidRDefault="004C4DBF" w:rsidP="004C4DBF">
      <w:pPr>
        <w:pStyle w:val="ListBullet"/>
      </w:pPr>
      <w:r>
        <w:t>A DATO is an intensive order.</w:t>
      </w:r>
    </w:p>
    <w:p w14:paraId="73CCAB11" w14:textId="77777777" w:rsidR="004C4DBF" w:rsidRDefault="004C4DBF" w:rsidP="004C4DBF">
      <w:pPr>
        <w:pStyle w:val="ListBullet"/>
      </w:pPr>
      <w:r>
        <w:t xml:space="preserve">When your client is sentenced to a DATO, their remaining custodial sentence is put on hold, to allow for treatment and supervision to take place. </w:t>
      </w:r>
    </w:p>
    <w:p w14:paraId="0E9E4EF1" w14:textId="7AD11463" w:rsidR="004C4DBF" w:rsidRDefault="004C4DBF" w:rsidP="00CF57E3">
      <w:pPr>
        <w:pStyle w:val="ListBullet"/>
      </w:pPr>
      <w:r>
        <w:t>The treatment and supervision part will focus on treating your client’s drug or alcohol dependency, as well as assistance for other issues, such as:</w:t>
      </w:r>
      <w:r w:rsidR="00CF57E3">
        <w:t xml:space="preserve"> h</w:t>
      </w:r>
      <w:r>
        <w:t>ousing</w:t>
      </w:r>
      <w:r w:rsidR="00CF57E3">
        <w:t>; e</w:t>
      </w:r>
      <w:r>
        <w:t>mployment and income stability</w:t>
      </w:r>
      <w:r w:rsidR="00CF57E3">
        <w:t>; e</w:t>
      </w:r>
      <w:r>
        <w:t>ducation and training</w:t>
      </w:r>
      <w:r w:rsidR="00CF57E3">
        <w:t>; f</w:t>
      </w:r>
      <w:r>
        <w:t>amily and positive social relationships</w:t>
      </w:r>
      <w:r w:rsidR="00CF57E3">
        <w:t>; p</w:t>
      </w:r>
      <w:r>
        <w:t>hysical and mental health</w:t>
      </w:r>
      <w:r w:rsidR="00CF57E3">
        <w:t>; and g</w:t>
      </w:r>
      <w:r>
        <w:t xml:space="preserve">eneral wellbeing. </w:t>
      </w:r>
    </w:p>
    <w:p w14:paraId="42081273" w14:textId="77777777" w:rsidR="00CF57E3" w:rsidRDefault="00CF57E3" w:rsidP="00CF57E3">
      <w:pPr>
        <w:pStyle w:val="ListBullet"/>
        <w:numPr>
          <w:ilvl w:val="0"/>
          <w:numId w:val="0"/>
        </w:numPr>
      </w:pPr>
    </w:p>
    <w:p w14:paraId="19C99A51" w14:textId="35630BDB" w:rsidR="004C4DBF" w:rsidRDefault="004C4DBF" w:rsidP="006A4D7F">
      <w:pPr>
        <w:pStyle w:val="ListBullet"/>
      </w:pPr>
      <w:r>
        <w:lastRenderedPageBreak/>
        <w:t>Core conditions of the DATO include</w:t>
      </w:r>
      <w:r>
        <w:rPr>
          <w:rStyle w:val="FootnoteReference"/>
        </w:rPr>
        <w:footnoteReference w:id="8"/>
      </w:r>
      <w:r>
        <w:t>:</w:t>
      </w:r>
    </w:p>
    <w:p w14:paraId="31158494" w14:textId="1BFF9BA1" w:rsidR="00163141" w:rsidRDefault="00163141" w:rsidP="00163141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Not to commit any criminal offences that are punishable by imprisonment</w:t>
      </w:r>
      <w:r w:rsidR="001D41FD">
        <w:t>.</w:t>
      </w:r>
    </w:p>
    <w:p w14:paraId="3CEAAF4B" w14:textId="38023A7E" w:rsidR="00163141" w:rsidRDefault="00163141" w:rsidP="00163141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weekly review hearings with a Drug Court Magistrate in court</w:t>
      </w:r>
      <w:r w:rsidR="001D41FD">
        <w:t>.</w:t>
      </w:r>
    </w:p>
    <w:p w14:paraId="6631C23B" w14:textId="488AC6CB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Report to the Drug Court immediately upon release</w:t>
      </w:r>
      <w:r w:rsidR="001D41FD">
        <w:t>.</w:t>
      </w:r>
    </w:p>
    <w:p w14:paraId="01436474" w14:textId="0EF93D7B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Undergo intensive treatment for drug or alcohol dependency</w:t>
      </w:r>
      <w:r w:rsidR="00163141">
        <w:t xml:space="preserve"> under the guidance of case managers</w:t>
      </w:r>
      <w:r w:rsidR="001D41FD">
        <w:t>, clinical advisors and counsellors.</w:t>
      </w:r>
    </w:p>
    <w:p w14:paraId="11715457" w14:textId="0AB84219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Accept visits from members of the Drug Court team</w:t>
      </w:r>
      <w:r w:rsidR="001D41FD">
        <w:t>.</w:t>
      </w:r>
    </w:p>
    <w:p w14:paraId="43BD48CD" w14:textId="0061DC90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Tell the Drug Court team before chang</w:t>
      </w:r>
      <w:r w:rsidR="001D41FD">
        <w:t>ing</w:t>
      </w:r>
      <w:r>
        <w:t xml:space="preserve"> address</w:t>
      </w:r>
      <w:r w:rsidR="001D41FD">
        <w:t>.</w:t>
      </w:r>
    </w:p>
    <w:p w14:paraId="4F9EB27B" w14:textId="06AC369F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Not</w:t>
      </w:r>
      <w:r w:rsidR="001D41FD">
        <w:t xml:space="preserve"> to</w:t>
      </w:r>
      <w:r>
        <w:t xml:space="preserve"> leave Victoria without permission</w:t>
      </w:r>
      <w:r w:rsidR="001D41FD">
        <w:t>.</w:t>
      </w:r>
    </w:p>
    <w:p w14:paraId="1631FE4A" w14:textId="77777777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Obey all other lawful instructions from Drug Court.</w:t>
      </w:r>
    </w:p>
    <w:p w14:paraId="68EEF3A4" w14:textId="4E77B4D9" w:rsidR="004C4DBF" w:rsidRDefault="004C4DBF" w:rsidP="006A4D7F">
      <w:pPr>
        <w:pStyle w:val="ListBullet"/>
      </w:pPr>
      <w:r>
        <w:t>Depending on your client’s needs and progress on the DATO, the Drug Court Magistrate may attach other conditions to the order including</w:t>
      </w:r>
      <w:r>
        <w:rPr>
          <w:rStyle w:val="FootnoteReference"/>
        </w:rPr>
        <w:footnoteReference w:id="9"/>
      </w:r>
      <w:r>
        <w:t xml:space="preserve">: </w:t>
      </w:r>
    </w:p>
    <w:p w14:paraId="3205C13B" w14:textId="17B82949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supervised urine screens for drug and alcohol testing, up to three times a week</w:t>
      </w:r>
      <w:r w:rsidR="001D41FD">
        <w:t>.</w:t>
      </w:r>
    </w:p>
    <w:p w14:paraId="254528DE" w14:textId="693D88BD" w:rsidR="001D41FD" w:rsidRDefault="001D41FD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withdrawal, detox or other treatment facility.</w:t>
      </w:r>
    </w:p>
    <w:p w14:paraId="44D4DFE5" w14:textId="77777777" w:rsidR="001D41FD" w:rsidRDefault="001D41FD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educational, training, employment or other programs.</w:t>
      </w:r>
      <w:r w:rsidRPr="001D41FD">
        <w:t xml:space="preserve"> </w:t>
      </w:r>
    </w:p>
    <w:p w14:paraId="2037576D" w14:textId="517CEAE7" w:rsidR="001D41FD" w:rsidRDefault="001D41FD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a medical, psychiatric or psychological assessment and receive treatment as directed.</w:t>
      </w:r>
    </w:p>
    <w:p w14:paraId="404C8DFD" w14:textId="781D1015" w:rsidR="001D41FD" w:rsidRDefault="001D41FD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Not to associate with specified persons.</w:t>
      </w:r>
    </w:p>
    <w:p w14:paraId="21D2C86E" w14:textId="127DEEAE" w:rsidR="004C4DBF" w:rsidRDefault="001D41FD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Reside at a specific place and a</w:t>
      </w:r>
      <w:r w:rsidR="004C4DBF">
        <w:t xml:space="preserve">bide by </w:t>
      </w:r>
      <w:r w:rsidR="00D861C5">
        <w:t xml:space="preserve">a </w:t>
      </w:r>
      <w:r w:rsidR="004C4DBF">
        <w:t>curfew as directed</w:t>
      </w:r>
      <w:r>
        <w:t>.</w:t>
      </w:r>
    </w:p>
    <w:p w14:paraId="1DB12725" w14:textId="40DEFD9E" w:rsidR="004C4DBF" w:rsidRDefault="004C4DBF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Comply with anything else the Drug Court considers necessary or appropriate relating to</w:t>
      </w:r>
      <w:r w:rsidR="001D41FD">
        <w:t xml:space="preserve"> the d</w:t>
      </w:r>
      <w:r>
        <w:t>rug or alcohol dependenc</w:t>
      </w:r>
      <w:r w:rsidR="001D41FD">
        <w:t>y, or t</w:t>
      </w:r>
      <w:r>
        <w:t>he personal factors that contribute</w:t>
      </w:r>
      <w:r w:rsidR="001D41FD">
        <w:t>d</w:t>
      </w:r>
      <w:r>
        <w:t xml:space="preserve"> to </w:t>
      </w:r>
      <w:r w:rsidR="001D41FD">
        <w:t>the</w:t>
      </w:r>
      <w:r>
        <w:t xml:space="preserve"> criminal behaviour.</w:t>
      </w:r>
      <w:r w:rsidR="001D41FD">
        <w:t xml:space="preserve"> </w:t>
      </w:r>
    </w:p>
    <w:p w14:paraId="377AE027" w14:textId="38BE90D2" w:rsidR="004C4DBF" w:rsidRDefault="004C4DBF" w:rsidP="004C4DBF">
      <w:pPr>
        <w:pStyle w:val="ListBullet"/>
      </w:pPr>
      <w:r>
        <w:t xml:space="preserve">Failing to comply with the DATO conditions can result in accruing sanctions, with the result that your client may be required to serve </w:t>
      </w:r>
      <w:r w:rsidR="00163141">
        <w:t>seven</w:t>
      </w:r>
      <w:r>
        <w:t xml:space="preserve"> days in custody. This is designed to encourage a change in behaviour. </w:t>
      </w:r>
    </w:p>
    <w:p w14:paraId="3E7BF75C" w14:textId="77777777" w:rsidR="004C4DBF" w:rsidRDefault="004C4DBF" w:rsidP="004C4DBF">
      <w:pPr>
        <w:pStyle w:val="ListBullet"/>
      </w:pPr>
      <w:r>
        <w:t xml:space="preserve">Demonstrating compliance with the conditions of the DATO on the other hand, can see your client receive rewards and progress through the different phases of the order, to ultimately promote a lifestyle that moves away from drug or alcohol dependence. </w:t>
      </w:r>
    </w:p>
    <w:p w14:paraId="18966CCB" w14:textId="77777777" w:rsidR="00163141" w:rsidRDefault="004C4DBF" w:rsidP="004C4DBF">
      <w:pPr>
        <w:pStyle w:val="ListBullet"/>
      </w:pPr>
      <w:r>
        <w:t xml:space="preserve">If your client re-offends or continues to demonstrate poor compliance with the DATO, they will be at risk of their order being cancelled, and some or </w:t>
      </w:r>
      <w:proofErr w:type="gramStart"/>
      <w:r>
        <w:t>all of</w:t>
      </w:r>
      <w:proofErr w:type="gramEnd"/>
      <w:r>
        <w:t xml:space="preserve"> their remaining custodial sentence being imposed. </w:t>
      </w:r>
    </w:p>
    <w:p w14:paraId="52BFC965" w14:textId="63E151E0" w:rsidR="004C4DBF" w:rsidRDefault="00163141" w:rsidP="00B031A4">
      <w:pPr>
        <w:pStyle w:val="ListBullet"/>
      </w:pPr>
      <w:r>
        <w:t>Having a DATO cancelled</w:t>
      </w:r>
      <w:r w:rsidR="004C4DBF">
        <w:t xml:space="preserve"> could be detrimental </w:t>
      </w:r>
      <w:r>
        <w:t>in any future sentencing</w:t>
      </w:r>
      <w:r w:rsidR="004C4DBF">
        <w:t xml:space="preserve">, as </w:t>
      </w:r>
      <w:r>
        <w:t>it</w:t>
      </w:r>
      <w:r w:rsidR="004C4DBF">
        <w:t xml:space="preserve"> can be interpreted as </w:t>
      </w:r>
      <w:r>
        <w:t>indicating</w:t>
      </w:r>
      <w:r w:rsidR="004C4DBF">
        <w:t xml:space="preserve"> low prospects of rehabilitation</w:t>
      </w:r>
      <w:r>
        <w:t xml:space="preserve">. </w:t>
      </w:r>
      <w:r w:rsidR="001D41FD">
        <w:t xml:space="preserve">It </w:t>
      </w:r>
      <w:r w:rsidR="004C4DBF">
        <w:t>is</w:t>
      </w:r>
      <w:r w:rsidR="00B031A4">
        <w:t xml:space="preserve"> therefore</w:t>
      </w:r>
      <w:r w:rsidR="004C4DBF">
        <w:t xml:space="preserve"> important </w:t>
      </w:r>
      <w:r w:rsidR="00B031A4">
        <w:t>that</w:t>
      </w:r>
      <w:r w:rsidR="004C4DBF">
        <w:t xml:space="preserve"> your client feels ready to </w:t>
      </w:r>
      <w:r w:rsidR="001D41FD">
        <w:t>undertake</w:t>
      </w:r>
      <w:r w:rsidR="004C4DBF">
        <w:t xml:space="preserve"> a DATO. </w:t>
      </w:r>
    </w:p>
    <w:p w14:paraId="560EDF55" w14:textId="74BC66A8" w:rsidR="0000281B" w:rsidRDefault="0000281B" w:rsidP="0000281B">
      <w:pPr>
        <w:pStyle w:val="ListBullet"/>
      </w:pPr>
      <w:r>
        <w:t>We encourage you to contact the Victoria Legal Aid (VLA) Drug Court teams to discuss client eligibility and suitability for a DATO.</w:t>
      </w:r>
    </w:p>
    <w:p w14:paraId="61920CAF" w14:textId="3AFD7688" w:rsidR="008303A2" w:rsidRPr="004C4DBF" w:rsidRDefault="004C4DBF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bookmarkStart w:id="0" w:name="_Hlk86260474"/>
      <w:r w:rsidRPr="004C4DBF">
        <w:rPr>
          <w:b/>
          <w:bCs/>
        </w:rPr>
        <w:t>Referral process</w:t>
      </w:r>
    </w:p>
    <w:p w14:paraId="12A29A41" w14:textId="14E733F8" w:rsidR="004C4DBF" w:rsidRPr="001D41FD" w:rsidRDefault="004C4DBF" w:rsidP="008303A2">
      <w:pPr>
        <w:pStyle w:val="ListBullet"/>
      </w:pPr>
      <w:r>
        <w:t xml:space="preserve">Make a referral by </w:t>
      </w:r>
      <w:r w:rsidR="00C7504C">
        <w:t>contacting the relevant Drug Court registry. Once a screening hearing date is provided, send</w:t>
      </w:r>
      <w:r>
        <w:t xml:space="preserve"> a </w:t>
      </w:r>
      <w:hyperlink r:id="rId9" w:history="1">
        <w:r w:rsidRPr="008E4E38">
          <w:rPr>
            <w:rStyle w:val="Hyperlink"/>
          </w:rPr>
          <w:t>Request to access the Drug Court form</w:t>
        </w:r>
      </w:hyperlink>
      <w:r>
        <w:t xml:space="preserve"> to the relevant Drug Court registry</w:t>
      </w:r>
      <w:r w:rsidR="008303A2">
        <w:t xml:space="preserve">. See also information on the </w:t>
      </w:r>
      <w:hyperlink r:id="rId10" w:history="1">
        <w:r w:rsidR="008303A2" w:rsidRPr="008303A2">
          <w:rPr>
            <w:rStyle w:val="Hyperlink"/>
          </w:rPr>
          <w:t>Magistrates’ Court of Victoria website</w:t>
        </w:r>
      </w:hyperlink>
      <w:r w:rsidR="008303A2">
        <w:t>.</w:t>
      </w:r>
    </w:p>
    <w:p w14:paraId="6A94BD0F" w14:textId="77777777" w:rsidR="006A4D7F" w:rsidRDefault="004C4DBF" w:rsidP="0000281B">
      <w:pPr>
        <w:pStyle w:val="ListParagraph"/>
        <w:spacing w:before="120" w:after="160"/>
        <w:ind w:left="851"/>
        <w:rPr>
          <w:rFonts w:cstheme="minorHAnsi"/>
        </w:rPr>
      </w:pPr>
      <w:r>
        <w:rPr>
          <w:rFonts w:cstheme="minorHAnsi"/>
        </w:rPr>
        <w:t>Melbourne Drug Court</w:t>
      </w:r>
    </w:p>
    <w:p w14:paraId="7A1DFF90" w14:textId="77777777" w:rsidR="006A4D7F" w:rsidRDefault="004C4DBF" w:rsidP="006A4D7F">
      <w:pPr>
        <w:pStyle w:val="ListParagraph"/>
        <w:spacing w:before="120" w:after="160"/>
        <w:ind w:left="851"/>
        <w:rPr>
          <w:rFonts w:cstheme="minorHAnsi"/>
          <w:color w:val="000000"/>
          <w:lang w:eastAsia="en-AU"/>
        </w:rPr>
      </w:pPr>
      <w:r w:rsidRPr="006A4D7F">
        <w:rPr>
          <w:rFonts w:cstheme="minorHAnsi"/>
          <w:color w:val="000000"/>
          <w:lang w:eastAsia="en-AU"/>
        </w:rPr>
        <w:t>2/233 William Street, Melbourne 3000 </w:t>
      </w:r>
    </w:p>
    <w:p w14:paraId="4505DE4D" w14:textId="696F69BB" w:rsidR="007E4B9E" w:rsidRDefault="00D77DDF" w:rsidP="00F674AD">
      <w:pPr>
        <w:pStyle w:val="ListParagraph"/>
        <w:spacing w:before="120" w:after="160"/>
        <w:ind w:left="851"/>
        <w:rPr>
          <w:rFonts w:cstheme="minorHAnsi"/>
          <w:color w:val="000000"/>
          <w:lang w:eastAsia="en-AU"/>
        </w:rPr>
      </w:pPr>
      <w:hyperlink r:id="rId11" w:history="1">
        <w:r w:rsidR="006A4D7F" w:rsidRPr="00D1011D">
          <w:rPr>
            <w:rStyle w:val="Hyperlink"/>
            <w:rFonts w:cstheme="minorHAnsi"/>
            <w:lang w:eastAsia="en-AU"/>
          </w:rPr>
          <w:t>drugcourtmelbourne@courts.vic.gov.au</w:t>
        </w:r>
      </w:hyperlink>
      <w:r w:rsidR="004C4DBF">
        <w:rPr>
          <w:rFonts w:cstheme="minorHAnsi"/>
          <w:color w:val="000000"/>
          <w:lang w:eastAsia="en-AU"/>
        </w:rPr>
        <w:t xml:space="preserve"> </w:t>
      </w:r>
    </w:p>
    <w:p w14:paraId="2CBE07BA" w14:textId="3BC67B22" w:rsidR="004C4DBF" w:rsidRPr="00C7504C" w:rsidRDefault="004C4DBF" w:rsidP="00C7504C">
      <w:pPr>
        <w:pStyle w:val="ListParagraph"/>
        <w:spacing w:before="120" w:after="160"/>
        <w:ind w:left="851"/>
        <w:rPr>
          <w:rFonts w:cstheme="minorHAnsi"/>
        </w:rPr>
      </w:pPr>
      <w:r w:rsidRPr="00C7504C">
        <w:rPr>
          <w:rFonts w:cstheme="minorHAnsi"/>
        </w:rPr>
        <w:lastRenderedPageBreak/>
        <w:t>Dandenong Drug Court</w:t>
      </w:r>
    </w:p>
    <w:p w14:paraId="4A0172C8" w14:textId="77777777" w:rsidR="006A4D7F" w:rsidRDefault="004C4DBF" w:rsidP="006A4D7F">
      <w:pPr>
        <w:pStyle w:val="ListParagraph"/>
        <w:spacing w:before="120" w:after="160"/>
        <w:ind w:left="851"/>
        <w:rPr>
          <w:rFonts w:cstheme="minorHAnsi"/>
        </w:rPr>
      </w:pPr>
      <w:r w:rsidRPr="00365239">
        <w:rPr>
          <w:rFonts w:cstheme="minorHAnsi"/>
        </w:rPr>
        <w:t xml:space="preserve">35 </w:t>
      </w:r>
      <w:proofErr w:type="spellStart"/>
      <w:r w:rsidRPr="00365239">
        <w:rPr>
          <w:rFonts w:cstheme="minorHAnsi"/>
        </w:rPr>
        <w:t>Pultney</w:t>
      </w:r>
      <w:proofErr w:type="spellEnd"/>
      <w:r w:rsidRPr="00365239">
        <w:rPr>
          <w:rFonts w:cstheme="minorHAnsi"/>
        </w:rPr>
        <w:t xml:space="preserve"> Street, Dandenong 3175</w:t>
      </w:r>
    </w:p>
    <w:p w14:paraId="2FB19F15" w14:textId="66E139B3" w:rsidR="00C7504C" w:rsidRDefault="00D77DDF" w:rsidP="00C7504C">
      <w:pPr>
        <w:pStyle w:val="ListParagraph"/>
        <w:spacing w:before="120" w:after="160"/>
        <w:ind w:left="851"/>
        <w:rPr>
          <w:rStyle w:val="contact-line2"/>
          <w:rFonts w:cstheme="minorHAnsi"/>
          <w:lang w:val="en"/>
        </w:rPr>
      </w:pPr>
      <w:hyperlink r:id="rId12" w:history="1">
        <w:r w:rsidR="006A4D7F" w:rsidRPr="00D1011D">
          <w:rPr>
            <w:rStyle w:val="Hyperlink"/>
            <w:rFonts w:cstheme="minorHAnsi"/>
            <w:lang w:eastAsia="en-AU"/>
          </w:rPr>
          <w:t>drugcourtdandenong@courts.vic.gov.au</w:t>
        </w:r>
      </w:hyperlink>
    </w:p>
    <w:p w14:paraId="03A75E08" w14:textId="77777777" w:rsidR="00C7504C" w:rsidRDefault="00C7504C" w:rsidP="00C7504C">
      <w:pPr>
        <w:pStyle w:val="ListParagraph"/>
        <w:spacing w:before="120" w:after="160"/>
        <w:ind w:left="851"/>
        <w:rPr>
          <w:rStyle w:val="contact-line2"/>
          <w:rFonts w:cstheme="minorHAnsi"/>
          <w:lang w:val="en"/>
        </w:rPr>
      </w:pPr>
    </w:p>
    <w:p w14:paraId="43FCDEFD" w14:textId="4C30B548" w:rsidR="00C7504C" w:rsidRPr="00C7504C" w:rsidRDefault="00C7504C" w:rsidP="00C7504C">
      <w:pPr>
        <w:pStyle w:val="ListParagraph"/>
        <w:spacing w:before="120" w:after="160"/>
        <w:ind w:left="851"/>
        <w:rPr>
          <w:rFonts w:cstheme="minorHAnsi"/>
          <w:lang w:val="en"/>
        </w:rPr>
      </w:pPr>
      <w:r w:rsidRPr="00C7504C">
        <w:rPr>
          <w:rFonts w:cstheme="minorHAnsi"/>
        </w:rPr>
        <w:t>Shepparton Drug Court</w:t>
      </w:r>
    </w:p>
    <w:p w14:paraId="5703622E" w14:textId="77777777" w:rsidR="00C7504C" w:rsidRPr="00C7504C" w:rsidRDefault="00C7504C" w:rsidP="00C7504C">
      <w:pPr>
        <w:pStyle w:val="ListParagraph"/>
        <w:spacing w:before="120" w:after="160"/>
        <w:ind w:left="851"/>
        <w:rPr>
          <w:rFonts w:cstheme="minorHAnsi"/>
        </w:rPr>
      </w:pPr>
      <w:r w:rsidRPr="00C7504C">
        <w:rPr>
          <w:rFonts w:cstheme="minorHAnsi"/>
        </w:rPr>
        <w:t>18 High Street, Shepparton 3630</w:t>
      </w:r>
    </w:p>
    <w:p w14:paraId="0C75BBC5" w14:textId="77777777" w:rsidR="00C7504C" w:rsidRDefault="00D77DDF" w:rsidP="00C7504C">
      <w:pPr>
        <w:pStyle w:val="ListParagraph"/>
        <w:spacing w:before="120" w:after="160"/>
        <w:ind w:left="851"/>
        <w:rPr>
          <w:rStyle w:val="contact-line2"/>
          <w:rFonts w:cstheme="minorHAnsi"/>
        </w:rPr>
      </w:pPr>
      <w:hyperlink r:id="rId13" w:history="1">
        <w:r w:rsidR="00C7504C" w:rsidRPr="003E422F">
          <w:rPr>
            <w:rStyle w:val="Hyperlink"/>
            <w:rFonts w:cstheme="minorHAnsi"/>
          </w:rPr>
          <w:t>drugcourtshepparton@courts.vic.gov.au</w:t>
        </w:r>
      </w:hyperlink>
      <w:r w:rsidR="00C7504C">
        <w:rPr>
          <w:rStyle w:val="contact-line2"/>
          <w:rFonts w:cstheme="minorHAnsi"/>
        </w:rPr>
        <w:t xml:space="preserve"> </w:t>
      </w:r>
    </w:p>
    <w:p w14:paraId="798A5AF0" w14:textId="77777777" w:rsidR="00C7504C" w:rsidRDefault="00C7504C" w:rsidP="00C7504C">
      <w:pPr>
        <w:pStyle w:val="ListParagraph"/>
        <w:spacing w:before="120" w:after="160"/>
        <w:ind w:left="851"/>
        <w:rPr>
          <w:rStyle w:val="contact-line2"/>
          <w:rFonts w:cstheme="minorHAnsi"/>
        </w:rPr>
      </w:pPr>
    </w:p>
    <w:p w14:paraId="60A45579" w14:textId="1BB13D53" w:rsidR="00C7504C" w:rsidRPr="00C7504C" w:rsidRDefault="00C7504C" w:rsidP="00C7504C">
      <w:pPr>
        <w:pStyle w:val="ListParagraph"/>
        <w:spacing w:before="120" w:after="160"/>
        <w:ind w:left="851"/>
        <w:rPr>
          <w:rFonts w:cstheme="minorHAnsi"/>
        </w:rPr>
      </w:pPr>
      <w:r w:rsidRPr="00C7504C">
        <w:rPr>
          <w:rFonts w:cstheme="minorHAnsi"/>
        </w:rPr>
        <w:t>Ballarat Drug Court</w:t>
      </w:r>
    </w:p>
    <w:p w14:paraId="1B6FF5AD" w14:textId="77777777" w:rsidR="00C7504C" w:rsidRPr="00C7504C" w:rsidRDefault="00C7504C" w:rsidP="00C7504C">
      <w:pPr>
        <w:pStyle w:val="ListParagraph"/>
        <w:spacing w:before="120" w:after="160"/>
        <w:ind w:left="851"/>
        <w:rPr>
          <w:rFonts w:cstheme="minorHAnsi"/>
        </w:rPr>
      </w:pPr>
      <w:r w:rsidRPr="00C7504C">
        <w:rPr>
          <w:rFonts w:cstheme="minorHAnsi"/>
        </w:rPr>
        <w:t>100 Grenville Street South, Ballarat 3350</w:t>
      </w:r>
    </w:p>
    <w:p w14:paraId="699FDEC2" w14:textId="0905C24C" w:rsidR="00C7504C" w:rsidRPr="006A4D7F" w:rsidRDefault="00D77DDF" w:rsidP="006A4D7F">
      <w:pPr>
        <w:pStyle w:val="ListParagraph"/>
        <w:spacing w:before="120" w:after="160"/>
        <w:ind w:left="851"/>
        <w:rPr>
          <w:rStyle w:val="contact-line2"/>
          <w:rFonts w:cstheme="minorHAnsi"/>
        </w:rPr>
      </w:pPr>
      <w:hyperlink r:id="rId14" w:history="1">
        <w:r w:rsidR="00C7504C" w:rsidRPr="003E422F">
          <w:rPr>
            <w:rStyle w:val="Hyperlink"/>
            <w:rFonts w:cstheme="minorHAnsi"/>
          </w:rPr>
          <w:t>drugcourtballarat@courts.vic.gov.au</w:t>
        </w:r>
      </w:hyperlink>
      <w:r w:rsidR="00C7504C">
        <w:rPr>
          <w:rStyle w:val="contact-line2"/>
          <w:rFonts w:cstheme="minorHAnsi"/>
        </w:rPr>
        <w:t xml:space="preserve"> </w:t>
      </w:r>
    </w:p>
    <w:bookmarkEnd w:id="0"/>
    <w:p w14:paraId="5909EA28" w14:textId="497D1ECA" w:rsidR="004C4DBF" w:rsidRDefault="004C4DBF" w:rsidP="004C4DBF">
      <w:pPr>
        <w:pStyle w:val="ListBullet"/>
        <w:rPr>
          <w:rFonts w:cstheme="minorHAnsi"/>
        </w:rPr>
      </w:pPr>
      <w:r w:rsidRPr="00DA6089">
        <w:rPr>
          <w:rFonts w:cstheme="minorHAnsi"/>
        </w:rPr>
        <w:t xml:space="preserve">Your </w:t>
      </w:r>
      <w:r>
        <w:rPr>
          <w:rFonts w:cstheme="minorHAnsi"/>
        </w:rPr>
        <w:t xml:space="preserve">client’s </w:t>
      </w:r>
      <w:r w:rsidRPr="00DA6089">
        <w:rPr>
          <w:rFonts w:cstheme="minorHAnsi"/>
        </w:rPr>
        <w:t xml:space="preserve">matter will be allocated a date for a screening hearing where the </w:t>
      </w:r>
      <w:r w:rsidR="006A4D7F">
        <w:rPr>
          <w:rFonts w:cstheme="minorHAnsi"/>
        </w:rPr>
        <w:t xml:space="preserve">Drug Court </w:t>
      </w:r>
      <w:r>
        <w:rPr>
          <w:rFonts w:cstheme="minorHAnsi"/>
        </w:rPr>
        <w:t>M</w:t>
      </w:r>
      <w:r w:rsidRPr="00DA6089">
        <w:rPr>
          <w:rFonts w:cstheme="minorHAnsi"/>
        </w:rPr>
        <w:t>agistrate will review whether you</w:t>
      </w:r>
      <w:r>
        <w:rPr>
          <w:rFonts w:cstheme="minorHAnsi"/>
        </w:rPr>
        <w:t>r client is</w:t>
      </w:r>
      <w:r w:rsidRPr="00DA6089">
        <w:rPr>
          <w:rFonts w:cstheme="minorHAnsi"/>
        </w:rPr>
        <w:t xml:space="preserve"> eligible for a DATO. </w:t>
      </w:r>
      <w:r>
        <w:rPr>
          <w:rFonts w:cstheme="minorHAnsi"/>
        </w:rPr>
        <w:t>Your client must attend this hearing, either in person or via video link.</w:t>
      </w:r>
    </w:p>
    <w:p w14:paraId="756D7C38" w14:textId="77777777" w:rsidR="006A4D7F" w:rsidRPr="006A4D7F" w:rsidRDefault="004C4DBF" w:rsidP="004C4DBF">
      <w:pPr>
        <w:pStyle w:val="ListBullet"/>
      </w:pPr>
      <w:r>
        <w:rPr>
          <w:rFonts w:cstheme="minorHAnsi"/>
        </w:rPr>
        <w:t xml:space="preserve">If your client is </w:t>
      </w:r>
      <w:r w:rsidRPr="00DA6089">
        <w:rPr>
          <w:rFonts w:cstheme="minorHAnsi"/>
        </w:rPr>
        <w:t>found eligible at the screening</w:t>
      </w:r>
      <w:r>
        <w:rPr>
          <w:rFonts w:cstheme="minorHAnsi"/>
        </w:rPr>
        <w:t xml:space="preserve"> hearing</w:t>
      </w:r>
      <w:r w:rsidRPr="00DA6089">
        <w:rPr>
          <w:rFonts w:cstheme="minorHAnsi"/>
        </w:rPr>
        <w:t xml:space="preserve">, </w:t>
      </w:r>
      <w:r>
        <w:rPr>
          <w:rFonts w:cstheme="minorHAnsi"/>
        </w:rPr>
        <w:t>the matter will be adjourned to a sentencing hearing and your client</w:t>
      </w:r>
      <w:r w:rsidRPr="00DA6089">
        <w:rPr>
          <w:rFonts w:cstheme="minorHAnsi"/>
        </w:rPr>
        <w:t xml:space="preserve"> will be required to</w:t>
      </w:r>
      <w:r>
        <w:rPr>
          <w:rFonts w:cstheme="minorHAnsi"/>
        </w:rPr>
        <w:t xml:space="preserve"> undergo</w:t>
      </w:r>
      <w:r w:rsidRPr="00DA6089">
        <w:rPr>
          <w:rFonts w:cstheme="minorHAnsi"/>
        </w:rPr>
        <w:t xml:space="preserve"> </w:t>
      </w:r>
      <w:r>
        <w:rPr>
          <w:rFonts w:cstheme="minorHAnsi"/>
        </w:rPr>
        <w:t>assessment</w:t>
      </w:r>
      <w:r w:rsidR="006A4D7F">
        <w:rPr>
          <w:rFonts w:cstheme="minorHAnsi"/>
        </w:rPr>
        <w:t>s</w:t>
      </w:r>
      <w:r>
        <w:rPr>
          <w:rFonts w:cstheme="minorHAnsi"/>
        </w:rPr>
        <w:t xml:space="preserve"> with a Drug Court clinical advisor and a Corrections case manager</w:t>
      </w:r>
      <w:r>
        <w:rPr>
          <w:rStyle w:val="FootnoteReference"/>
          <w:rFonts w:cstheme="minorHAnsi"/>
        </w:rPr>
        <w:footnoteReference w:id="10"/>
      </w:r>
      <w:r w:rsidRPr="00DA6089">
        <w:rPr>
          <w:rFonts w:cstheme="minorHAnsi"/>
        </w:rPr>
        <w:t xml:space="preserve">. </w:t>
      </w:r>
    </w:p>
    <w:p w14:paraId="2B9249DC" w14:textId="30C0F46B" w:rsidR="004C4DBF" w:rsidRPr="004C4DBF" w:rsidRDefault="004C4DBF" w:rsidP="004C4DBF">
      <w:pPr>
        <w:pStyle w:val="ListBullet"/>
      </w:pPr>
      <w:r w:rsidRPr="00845936">
        <w:rPr>
          <w:rFonts w:cstheme="minorHAnsi"/>
        </w:rPr>
        <w:t xml:space="preserve">If your client is found </w:t>
      </w:r>
      <w:r w:rsidR="006A4D7F">
        <w:rPr>
          <w:rFonts w:cstheme="minorHAnsi"/>
        </w:rPr>
        <w:t xml:space="preserve">not </w:t>
      </w:r>
      <w:r w:rsidRPr="00845936">
        <w:rPr>
          <w:rFonts w:cstheme="minorHAnsi"/>
        </w:rPr>
        <w:t>eligible at the screening hearing, the Drug Court Magistrate will either sentence your client, or refer the matter to the mainstream court.</w:t>
      </w:r>
    </w:p>
    <w:p w14:paraId="268FC73B" w14:textId="77777777" w:rsidR="006A4D7F" w:rsidRPr="006A4D7F" w:rsidRDefault="004C4DBF" w:rsidP="004C4DBF">
      <w:pPr>
        <w:pStyle w:val="ListBullet"/>
      </w:pPr>
      <w:r>
        <w:rPr>
          <w:rFonts w:cstheme="minorHAnsi"/>
        </w:rPr>
        <w:t xml:space="preserve">The plea takes place at the sentencing hearing and the Drug Court Magistrate considers the assessment reports. Your client must attend this hearing. </w:t>
      </w:r>
    </w:p>
    <w:p w14:paraId="564F06B3" w14:textId="044357E6" w:rsidR="006A4D7F" w:rsidRPr="006A4D7F" w:rsidRDefault="004C4DBF" w:rsidP="004C4DBF">
      <w:pPr>
        <w:pStyle w:val="ListBullet"/>
      </w:pPr>
      <w:r w:rsidRPr="0055460F">
        <w:rPr>
          <w:rFonts w:cstheme="minorHAnsi"/>
        </w:rPr>
        <w:t xml:space="preserve">If the Drug Court Magistrate finds your client suitable and imposes a DATO, your client becomes a Drug Court participant. </w:t>
      </w:r>
    </w:p>
    <w:p w14:paraId="03958E17" w14:textId="76CA8652" w:rsidR="004C4DBF" w:rsidRPr="004C4DBF" w:rsidRDefault="004C4DBF" w:rsidP="004C4DBF">
      <w:pPr>
        <w:pStyle w:val="ListBullet"/>
      </w:pPr>
      <w:r w:rsidRPr="0055460F">
        <w:rPr>
          <w:rFonts w:cstheme="minorHAnsi"/>
        </w:rPr>
        <w:t>If your client is</w:t>
      </w:r>
      <w:r w:rsidR="006A4D7F">
        <w:rPr>
          <w:rFonts w:cstheme="minorHAnsi"/>
        </w:rPr>
        <w:t xml:space="preserve"> found</w:t>
      </w:r>
      <w:r w:rsidRPr="0055460F">
        <w:rPr>
          <w:rFonts w:cstheme="minorHAnsi"/>
        </w:rPr>
        <w:t xml:space="preserve"> not suitable</w:t>
      </w:r>
      <w:r w:rsidR="006A4D7F">
        <w:rPr>
          <w:rFonts w:cstheme="minorHAnsi"/>
        </w:rPr>
        <w:t xml:space="preserve"> for a DATO</w:t>
      </w:r>
      <w:r w:rsidRPr="0055460F">
        <w:rPr>
          <w:rFonts w:cstheme="minorHAnsi"/>
        </w:rPr>
        <w:t>, the Drug Court Magistrate will either sentence your client, or refer the matter to the mainstream court</w:t>
      </w:r>
      <w:r>
        <w:rPr>
          <w:rStyle w:val="FootnoteReference"/>
          <w:rFonts w:cstheme="minorHAnsi"/>
        </w:rPr>
        <w:footnoteReference w:id="11"/>
      </w:r>
      <w:r w:rsidRPr="0055460F">
        <w:rPr>
          <w:rFonts w:cstheme="minorHAnsi"/>
        </w:rPr>
        <w:t>.</w:t>
      </w:r>
    </w:p>
    <w:p w14:paraId="30E18EAA" w14:textId="7245255A" w:rsidR="004C4DBF" w:rsidRDefault="004C4DBF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r>
        <w:rPr>
          <w:b/>
          <w:bCs/>
        </w:rPr>
        <w:t>Grants of legal assistance</w:t>
      </w:r>
    </w:p>
    <w:p w14:paraId="43D2AC96" w14:textId="3A8EF267" w:rsidR="004C4DBF" w:rsidRPr="004C4DBF" w:rsidRDefault="004C4DBF" w:rsidP="004C4DBF">
      <w:pPr>
        <w:pStyle w:val="ListBullet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 xml:space="preserve">The fees for the screening and sentencing hearings are payable under a standard summary grant of legal assistance in </w:t>
      </w:r>
      <w:hyperlink r:id="rId15" w:history="1">
        <w:r w:rsidRPr="00EB6D67">
          <w:rPr>
            <w:rStyle w:val="Hyperlink"/>
            <w:rFonts w:cstheme="minorHAnsi"/>
          </w:rPr>
          <w:t>Table A of the VLA Handbook</w:t>
        </w:r>
      </w:hyperlink>
      <w:r w:rsidR="006A4D7F">
        <w:rPr>
          <w:rStyle w:val="Hyperlink"/>
          <w:rFonts w:cstheme="minorHAnsi"/>
        </w:rPr>
        <w:t>:</w:t>
      </w:r>
    </w:p>
    <w:p w14:paraId="6AFECD4A" w14:textId="77777777" w:rsidR="004C4DBF" w:rsidRPr="006A4D7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 w:rsidRPr="006A4D7F">
        <w:t>Screening hearing – Drug Court mention fee</w:t>
      </w:r>
    </w:p>
    <w:p w14:paraId="709E3A04" w14:textId="76F3332A" w:rsidR="004C4DBF" w:rsidRPr="006A4D7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 w:rsidRPr="006A4D7F">
        <w:t>Sentencing hearing – Daily appearance fee.</w:t>
      </w:r>
    </w:p>
    <w:p w14:paraId="400A35EB" w14:textId="36051BC7" w:rsidR="004C4DBF" w:rsidRDefault="004C4DBF" w:rsidP="004C4DBF">
      <w:pPr>
        <w:pStyle w:val="ListBullet"/>
        <w:rPr>
          <w:rFonts w:cstheme="minorHAnsi"/>
        </w:rPr>
      </w:pPr>
      <w:r w:rsidRPr="004C4DBF">
        <w:rPr>
          <w:rFonts w:cstheme="minorHAnsi"/>
        </w:rPr>
        <w:t>Once your client is placed on a DATO, the VLA Drug Court team will assist them on their Order.</w:t>
      </w:r>
    </w:p>
    <w:p w14:paraId="7D076793" w14:textId="70D45BBA" w:rsidR="004C4DBF" w:rsidRPr="004C4DBF" w:rsidRDefault="004C4DBF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r w:rsidRPr="004C4DBF">
        <w:rPr>
          <w:b/>
          <w:bCs/>
        </w:rPr>
        <w:t>Queries</w:t>
      </w:r>
    </w:p>
    <w:p w14:paraId="747E65FB" w14:textId="4CE79E8E" w:rsidR="004C4DBF" w:rsidRDefault="004C4DBF" w:rsidP="004C4DBF">
      <w:pPr>
        <w:pStyle w:val="ListBullet"/>
      </w:pPr>
      <w:r>
        <w:t xml:space="preserve">The VLA Drug Court teams are happy to answer any questions about client eligibility and suitability for a DATO and are available to appear in screening </w:t>
      </w:r>
      <w:r w:rsidR="0000281B">
        <w:t xml:space="preserve">and </w:t>
      </w:r>
      <w:r>
        <w:t xml:space="preserve">sentencing hearings. </w:t>
      </w:r>
    </w:p>
    <w:p w14:paraId="09069816" w14:textId="7282E2EB" w:rsidR="0026174D" w:rsidRPr="0026174D" w:rsidRDefault="004C4DBF" w:rsidP="0026174D">
      <w:pPr>
        <w:pStyle w:val="ListBullet"/>
      </w:pPr>
      <w:r w:rsidRPr="004C4DBF">
        <w:rPr>
          <w:rFonts w:cstheme="minorHAnsi"/>
        </w:rPr>
        <w:t>You can contact the VLA Drug Court teams at:</w:t>
      </w:r>
    </w:p>
    <w:p w14:paraId="7ED922D3" w14:textId="24643FEE" w:rsidR="0026174D" w:rsidRDefault="004C4DBF" w:rsidP="0026174D">
      <w:pPr>
        <w:pStyle w:val="ListParagraph"/>
        <w:spacing w:before="120" w:after="160"/>
        <w:ind w:left="851"/>
        <w:rPr>
          <w:rStyle w:val="Hyperlink"/>
          <w:rFonts w:cstheme="minorHAnsi"/>
        </w:rPr>
      </w:pPr>
      <w:r w:rsidRPr="006A4D7F">
        <w:rPr>
          <w:rFonts w:cstheme="minorHAnsi"/>
        </w:rPr>
        <w:t>Melbourne</w:t>
      </w:r>
      <w:r w:rsidR="00B031A4">
        <w:rPr>
          <w:rFonts w:cstheme="minorHAnsi"/>
        </w:rPr>
        <w:t xml:space="preserve"> team - </w:t>
      </w:r>
      <w:hyperlink r:id="rId16" w:history="1">
        <w:r w:rsidR="00B031A4" w:rsidRPr="00D1011D">
          <w:rPr>
            <w:rStyle w:val="Hyperlink"/>
            <w:rFonts w:cstheme="minorHAnsi"/>
          </w:rPr>
          <w:t>MelbourneVLADrugCourt@vla.vic.gov.au</w:t>
        </w:r>
      </w:hyperlink>
    </w:p>
    <w:p w14:paraId="34F56281" w14:textId="24872EA5" w:rsidR="0026174D" w:rsidRPr="0026174D" w:rsidRDefault="0026174D" w:rsidP="0026174D">
      <w:pPr>
        <w:pStyle w:val="ListParagraph"/>
        <w:spacing w:before="120" w:after="160"/>
        <w:ind w:left="851"/>
        <w:rPr>
          <w:rStyle w:val="Hyperlink"/>
          <w:rFonts w:cstheme="minorHAnsi"/>
          <w:color w:val="auto"/>
          <w:u w:val="none"/>
        </w:rPr>
      </w:pPr>
      <w:r w:rsidRPr="0026174D">
        <w:rPr>
          <w:rFonts w:cstheme="minorHAnsi"/>
        </w:rPr>
        <w:t xml:space="preserve">Dandenong team - </w:t>
      </w:r>
      <w:hyperlink r:id="rId17" w:history="1">
        <w:r w:rsidRPr="0026174D">
          <w:rPr>
            <w:rStyle w:val="Hyperlink"/>
            <w:rFonts w:cstheme="minorHAnsi"/>
          </w:rPr>
          <w:t>DandenongVLADrugCourt@vla.vic.gov.au</w:t>
        </w:r>
      </w:hyperlink>
    </w:p>
    <w:p w14:paraId="7A078EE6" w14:textId="33F096D1" w:rsidR="00990B7C" w:rsidRDefault="0026174D" w:rsidP="00CF57E3">
      <w:pPr>
        <w:pStyle w:val="ListParagraph"/>
        <w:spacing w:before="120" w:after="160"/>
        <w:ind w:left="851"/>
        <w:rPr>
          <w:rFonts w:cstheme="minorHAnsi"/>
        </w:rPr>
      </w:pPr>
      <w:r>
        <w:rPr>
          <w:rFonts w:cstheme="minorHAnsi"/>
        </w:rPr>
        <w:t xml:space="preserve">Shepparton team – </w:t>
      </w:r>
      <w:hyperlink r:id="rId18" w:history="1">
        <w:r w:rsidRPr="00AE43D9">
          <w:rPr>
            <w:rStyle w:val="Hyperlink"/>
            <w:rFonts w:cstheme="minorHAnsi"/>
          </w:rPr>
          <w:t>SheppartonVLADrugCourt@vla.vic.gov.au</w:t>
        </w:r>
      </w:hyperlink>
    </w:p>
    <w:p w14:paraId="2FD6A39F" w14:textId="0819FBCE" w:rsidR="0026174D" w:rsidRPr="00CF57E3" w:rsidRDefault="0026174D" w:rsidP="00CF57E3">
      <w:pPr>
        <w:pStyle w:val="ListParagraph"/>
        <w:spacing w:before="120" w:after="160"/>
        <w:ind w:left="851"/>
        <w:rPr>
          <w:rFonts w:cstheme="minorHAnsi"/>
        </w:rPr>
      </w:pPr>
      <w:r>
        <w:rPr>
          <w:rFonts w:cstheme="minorHAnsi"/>
        </w:rPr>
        <w:t xml:space="preserve">Ballarat team – </w:t>
      </w:r>
      <w:hyperlink r:id="rId19" w:history="1">
        <w:r w:rsidRPr="00AE43D9">
          <w:rPr>
            <w:rStyle w:val="Hyperlink"/>
            <w:rFonts w:cstheme="minorHAnsi"/>
          </w:rPr>
          <w:t>BallaratVLADrugCourt@vla.vic.gov.au</w:t>
        </w:r>
      </w:hyperlink>
      <w:r>
        <w:rPr>
          <w:rFonts w:cstheme="minorHAnsi"/>
        </w:rPr>
        <w:t xml:space="preserve">. </w:t>
      </w:r>
    </w:p>
    <w:sectPr w:rsidR="0026174D" w:rsidRPr="00CF57E3" w:rsidSect="00C750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20" w:code="9"/>
      <w:pgMar w:top="1276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02C9" w14:textId="77777777" w:rsidR="00D77DDF" w:rsidRDefault="00D77DDF">
      <w:pPr>
        <w:spacing w:after="0" w:line="240" w:lineRule="auto"/>
      </w:pPr>
      <w:r>
        <w:separator/>
      </w:r>
    </w:p>
  </w:endnote>
  <w:endnote w:type="continuationSeparator" w:id="0">
    <w:p w14:paraId="6868D927" w14:textId="77777777" w:rsidR="00D77DDF" w:rsidRDefault="00D7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1629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B204AE" w14:textId="77777777" w:rsidR="00BB122F" w:rsidRDefault="00D77DDF" w:rsidP="008074B3">
    <w:pPr>
      <w:pStyle w:val="Footer"/>
      <w:ind w:right="360" w:firstLine="360"/>
    </w:pPr>
  </w:p>
  <w:p w14:paraId="486A3C43" w14:textId="77777777" w:rsidR="00BB122F" w:rsidRDefault="00D77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4C3A" w14:textId="4219B4CD" w:rsidR="00BB122F" w:rsidRDefault="00C7504C" w:rsidP="009C0DC6">
    <w:pPr>
      <w:pStyle w:val="Footer"/>
      <w:ind w:right="20"/>
    </w:pPr>
    <w:r>
      <w:rPr>
        <w:rStyle w:val="PageNumber"/>
      </w:rPr>
      <w:t>Novem</w:t>
    </w:r>
    <w:r w:rsidR="009C0DC6">
      <w:rPr>
        <w:rStyle w:val="PageNumber"/>
      </w:rPr>
      <w:t>ber 2021</w:t>
    </w:r>
    <w:r w:rsidR="009C0DC6">
      <w:rPr>
        <w:rStyle w:val="PageNumber"/>
      </w:rPr>
      <w:tab/>
    </w:r>
    <w:r w:rsidR="009C0DC6">
      <w:rPr>
        <w:rStyle w:val="PageNumber"/>
      </w:rPr>
      <w:tab/>
    </w:r>
    <w:r w:rsidR="009C0DC6">
      <w:rPr>
        <w:rStyle w:val="PageNumber"/>
      </w:rPr>
      <w:tab/>
    </w:r>
    <w:r w:rsidR="009C0DC6">
      <w:rPr>
        <w:rStyle w:val="PageNumber"/>
      </w:rPr>
      <w:tab/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 PAGE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  <w:r w:rsidR="00C8737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6F3937" wp14:editId="05F2D89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59A7C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DTXb+3V&#10;AQAAiw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79EB" w14:textId="560B8AE8" w:rsidR="00BB122F" w:rsidRPr="008636E1" w:rsidRDefault="00C7504C" w:rsidP="009C0DC6">
    <w:pPr>
      <w:pStyle w:val="Footer"/>
      <w:ind w:right="20"/>
    </w:pPr>
    <w:r>
      <w:rPr>
        <w:rStyle w:val="PageNumber"/>
      </w:rPr>
      <w:t>Novem</w:t>
    </w:r>
    <w:r w:rsidR="009C0DC6">
      <w:rPr>
        <w:rStyle w:val="PageNumber"/>
      </w:rPr>
      <w:t>ber 2021</w:t>
    </w:r>
    <w:r w:rsidR="009C0DC6">
      <w:rPr>
        <w:rStyle w:val="PageNumber"/>
      </w:rPr>
      <w:tab/>
    </w:r>
    <w:r w:rsidR="009C0DC6">
      <w:rPr>
        <w:rStyle w:val="PageNumber"/>
      </w:rPr>
      <w:tab/>
    </w:r>
    <w:r w:rsidR="009C0DC6">
      <w:rPr>
        <w:rStyle w:val="PageNumber"/>
      </w:rPr>
      <w:tab/>
    </w:r>
    <w:r w:rsidR="009C0DC6">
      <w:rPr>
        <w:rStyle w:val="PageNumber"/>
      </w:rPr>
      <w:tab/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 PAGE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1</w:t>
    </w:r>
    <w:r w:rsidR="00C8737B">
      <w:rPr>
        <w:rStyle w:val="PageNumber"/>
      </w:rPr>
      <w:fldChar w:fldCharType="end"/>
    </w:r>
    <w:r w:rsidR="00C8737B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2D27B89" wp14:editId="6FDA1913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279B3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Ji+narV&#10;AQAAjA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38D9" w14:textId="77777777" w:rsidR="00D77DDF" w:rsidRDefault="00D77DDF">
      <w:pPr>
        <w:spacing w:after="0" w:line="240" w:lineRule="auto"/>
      </w:pPr>
      <w:r>
        <w:separator/>
      </w:r>
    </w:p>
  </w:footnote>
  <w:footnote w:type="continuationSeparator" w:id="0">
    <w:p w14:paraId="74EA79EC" w14:textId="77777777" w:rsidR="00D77DDF" w:rsidRDefault="00D77DDF">
      <w:pPr>
        <w:spacing w:after="0" w:line="240" w:lineRule="auto"/>
      </w:pPr>
      <w:r>
        <w:continuationSeparator/>
      </w:r>
    </w:p>
  </w:footnote>
  <w:footnote w:id="1">
    <w:p w14:paraId="039FE420" w14:textId="55753F6B" w:rsidR="001137ED" w:rsidRDefault="001137ED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18Z(1)(a) </w:t>
      </w:r>
      <w:r>
        <w:rPr>
          <w:i/>
          <w:iCs/>
        </w:rPr>
        <w:t>Sentencing Act 1991</w:t>
      </w:r>
    </w:p>
  </w:footnote>
  <w:footnote w:id="2">
    <w:p w14:paraId="39618C0F" w14:textId="77777777" w:rsidR="001137ED" w:rsidRPr="00753702" w:rsidRDefault="001137ED" w:rsidP="004C4DBF">
      <w:pPr>
        <w:pStyle w:val="FootnoteText"/>
        <w:spacing w:after="0" w:line="240" w:lineRule="auto"/>
        <w:rPr>
          <w:i/>
          <w:iCs/>
        </w:rPr>
      </w:pPr>
      <w:r>
        <w:rPr>
          <w:rStyle w:val="FootnoteReference"/>
        </w:rPr>
        <w:footnoteRef/>
      </w:r>
      <w:r>
        <w:t xml:space="preserve"> Section 18Z(1)(c) </w:t>
      </w:r>
      <w:r>
        <w:rPr>
          <w:i/>
          <w:iCs/>
        </w:rPr>
        <w:t>Sentencing Act 1991</w:t>
      </w:r>
    </w:p>
  </w:footnote>
  <w:footnote w:id="3">
    <w:p w14:paraId="05D6C5BC" w14:textId="72A3F15A" w:rsidR="001137ED" w:rsidRDefault="001137ED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18Z(1)(d) </w:t>
      </w:r>
      <w:r>
        <w:rPr>
          <w:i/>
          <w:iCs/>
        </w:rPr>
        <w:t>Sentencing Act 1991</w:t>
      </w:r>
    </w:p>
  </w:footnote>
  <w:footnote w:id="4">
    <w:p w14:paraId="7DC74C0B" w14:textId="3C20DD9F" w:rsidR="001137ED" w:rsidRDefault="001137ED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18Z(3)(b) </w:t>
      </w:r>
      <w:r>
        <w:rPr>
          <w:i/>
          <w:iCs/>
        </w:rPr>
        <w:t>Sentencing Act 1991</w:t>
      </w:r>
    </w:p>
  </w:footnote>
  <w:footnote w:id="5">
    <w:p w14:paraId="6BC69361" w14:textId="77777777" w:rsidR="001137ED" w:rsidRPr="003D2502" w:rsidRDefault="001137ED" w:rsidP="004C4DBF">
      <w:pPr>
        <w:pStyle w:val="FootnoteText"/>
        <w:spacing w:after="0" w:line="240" w:lineRule="auto"/>
        <w:rPr>
          <w:i/>
          <w:iCs/>
        </w:rPr>
      </w:pPr>
      <w:r>
        <w:rPr>
          <w:rStyle w:val="FootnoteReference"/>
        </w:rPr>
        <w:footnoteRef/>
      </w:r>
      <w:r>
        <w:t xml:space="preserve"> Section 4B(1)(b) </w:t>
      </w:r>
      <w:r>
        <w:rPr>
          <w:i/>
          <w:iCs/>
        </w:rPr>
        <w:t>Magistrates’ Court Act 1989</w:t>
      </w:r>
    </w:p>
  </w:footnote>
  <w:footnote w:id="6">
    <w:p w14:paraId="16D6C98E" w14:textId="77777777" w:rsidR="004C4DBF" w:rsidRPr="001C6078" w:rsidRDefault="004C4DBF" w:rsidP="004C4DBF">
      <w:pPr>
        <w:pStyle w:val="FootnoteText"/>
        <w:spacing w:after="0" w:line="240" w:lineRule="auto"/>
        <w:rPr>
          <w:i/>
          <w:iCs/>
        </w:rPr>
      </w:pPr>
      <w:r>
        <w:rPr>
          <w:rStyle w:val="FootnoteReference"/>
        </w:rPr>
        <w:footnoteRef/>
      </w:r>
      <w:r>
        <w:t xml:space="preserve"> Section 18Z(1)(a) </w:t>
      </w:r>
      <w:r>
        <w:rPr>
          <w:i/>
          <w:iCs/>
        </w:rPr>
        <w:t>Sentencing Act 1991</w:t>
      </w:r>
    </w:p>
  </w:footnote>
  <w:footnote w:id="7">
    <w:p w14:paraId="6F7D5653" w14:textId="77777777" w:rsidR="004C4DBF" w:rsidRPr="005F0517" w:rsidRDefault="004C4DBF" w:rsidP="004C4DBF">
      <w:pPr>
        <w:pStyle w:val="FootnoteText"/>
        <w:spacing w:after="0" w:line="240" w:lineRule="auto"/>
        <w:rPr>
          <w:i/>
          <w:iCs/>
        </w:rPr>
      </w:pPr>
      <w:r>
        <w:rPr>
          <w:rStyle w:val="FootnoteReference"/>
        </w:rPr>
        <w:footnoteRef/>
      </w:r>
      <w:r>
        <w:t xml:space="preserve"> Section 18Z(2)(a) and (c) </w:t>
      </w:r>
      <w:r>
        <w:rPr>
          <w:i/>
          <w:iCs/>
        </w:rPr>
        <w:t xml:space="preserve">Sentencing Act 1991 </w:t>
      </w:r>
    </w:p>
  </w:footnote>
  <w:footnote w:id="8">
    <w:p w14:paraId="16F51C0D" w14:textId="77777777" w:rsidR="004C4DBF" w:rsidRDefault="004C4DBF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18ZF </w:t>
      </w:r>
      <w:r>
        <w:rPr>
          <w:i/>
          <w:iCs/>
        </w:rPr>
        <w:t>Sentencing Act 1991</w:t>
      </w:r>
    </w:p>
  </w:footnote>
  <w:footnote w:id="9">
    <w:p w14:paraId="30377BFA" w14:textId="7D8792B5" w:rsidR="004C4DBF" w:rsidRDefault="004C4DBF" w:rsidP="009C0DC6">
      <w:pPr>
        <w:pStyle w:val="FootnoteText"/>
        <w:tabs>
          <w:tab w:val="left" w:pos="6705"/>
        </w:tabs>
        <w:spacing w:after="0" w:line="240" w:lineRule="auto"/>
      </w:pPr>
      <w:r>
        <w:rPr>
          <w:rStyle w:val="FootnoteReference"/>
        </w:rPr>
        <w:footnoteRef/>
      </w:r>
      <w:r>
        <w:t xml:space="preserve"> Section 18ZG </w:t>
      </w:r>
      <w:r>
        <w:rPr>
          <w:i/>
          <w:iCs/>
        </w:rPr>
        <w:t>Sentencing Act 1991</w:t>
      </w:r>
      <w:r w:rsidR="009C0DC6">
        <w:rPr>
          <w:i/>
          <w:iCs/>
        </w:rPr>
        <w:tab/>
      </w:r>
    </w:p>
  </w:footnote>
  <w:footnote w:id="10">
    <w:p w14:paraId="41885741" w14:textId="77777777" w:rsidR="004C4DBF" w:rsidRDefault="004C4DBF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18ZQ </w:t>
      </w:r>
      <w:r>
        <w:rPr>
          <w:i/>
          <w:iCs/>
        </w:rPr>
        <w:t>Sentencing Act 1991</w:t>
      </w:r>
    </w:p>
  </w:footnote>
  <w:footnote w:id="11">
    <w:p w14:paraId="53624838" w14:textId="77777777" w:rsidR="004C4DBF" w:rsidRDefault="004C4DBF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18ZB </w:t>
      </w:r>
      <w:r>
        <w:rPr>
          <w:i/>
          <w:iCs/>
        </w:rPr>
        <w:t>Sentencing Act 1991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0B17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BC74EE" w14:textId="77777777" w:rsidR="00BB122F" w:rsidRDefault="00D77DDF" w:rsidP="00091AFC">
    <w:pPr>
      <w:pStyle w:val="Header"/>
      <w:ind w:right="360"/>
    </w:pPr>
  </w:p>
  <w:p w14:paraId="68DEA6CD" w14:textId="77777777" w:rsidR="00BB122F" w:rsidRDefault="00D77D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4486" w14:textId="77777777" w:rsidR="00BB122F" w:rsidRPr="009B5FE2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799B3E"/>
        <w:sz w:val="18"/>
        <w:szCs w:val="18"/>
      </w:rPr>
    </w:pPr>
    <w:r w:rsidRPr="009B5FE2">
      <w:rPr>
        <w:rFonts w:cs="Arial"/>
        <w:color w:val="799B3E"/>
        <w:sz w:val="18"/>
        <w:szCs w:val="18"/>
      </w:rPr>
      <w:t>Victoria Legal Aid</w:t>
    </w:r>
    <w:r w:rsidRPr="009B5FE2">
      <w:rPr>
        <w:rFonts w:cs="Arial"/>
        <w:color w:val="799B3E"/>
        <w:sz w:val="18"/>
        <w:szCs w:val="18"/>
      </w:rPr>
      <w:tab/>
    </w:r>
  </w:p>
  <w:p w14:paraId="2BAF2533" w14:textId="496D0BA8" w:rsidR="00B031A4" w:rsidRPr="00B031A4" w:rsidRDefault="00C8737B" w:rsidP="00B031A4">
    <w:pPr>
      <w:spacing w:line="240" w:lineRule="auto"/>
      <w:ind w:left="-330"/>
      <w:rPr>
        <w:rFonts w:ascii="Arial Bold" w:hAnsi="Arial Bold" w:cs="Arial"/>
        <w:b/>
        <w:color w:val="799B3E"/>
        <w:sz w:val="18"/>
        <w:szCs w:val="18"/>
      </w:rPr>
    </w:pPr>
    <w:r w:rsidRPr="009B5FE2">
      <w:rPr>
        <w:rFonts w:ascii="Arial Bold" w:hAnsi="Arial Bold" w:cs="Arial"/>
        <w:b/>
        <w:noProof/>
        <w:color w:val="799B3E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5261138" wp14:editId="306F7F3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BA006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" strokecolor="#799b3e" strokeweight=".5pt">
              <w10:wrap anchorx="page" anchory="page"/>
              <w10:anchorlock/>
            </v:line>
          </w:pict>
        </mc:Fallback>
      </mc:AlternateContent>
    </w:r>
    <w:r w:rsidR="00B031A4">
      <w:rPr>
        <w:rFonts w:ascii="Arial Bold" w:hAnsi="Arial Bold" w:cs="Arial"/>
        <w:b/>
        <w:color w:val="799B3E"/>
        <w:sz w:val="18"/>
        <w:szCs w:val="18"/>
      </w:rPr>
      <w:t>Drug and Alcohol Treatment Orders in the Magistrates’ Court – Information for Lawyers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FC68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06BB1A8" wp14:editId="4E8B5897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CF600" w14:textId="77777777" w:rsidR="00BB122F" w:rsidRPr="00D82005" w:rsidRDefault="00D77DDF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001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51AB0"/>
    <w:multiLevelType w:val="hybridMultilevel"/>
    <w:tmpl w:val="1C3A5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053F0"/>
    <w:multiLevelType w:val="hybridMultilevel"/>
    <w:tmpl w:val="5CF24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E2A30"/>
    <w:multiLevelType w:val="hybridMultilevel"/>
    <w:tmpl w:val="A774A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86EF8"/>
    <w:multiLevelType w:val="hybridMultilevel"/>
    <w:tmpl w:val="9A7623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75551600"/>
    <w:multiLevelType w:val="multilevel"/>
    <w:tmpl w:val="3F6226FA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395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eastAsia="Times New Roman" w:hAnsi="Calibri" w:cs="Calibri" w:hint="default"/>
        <w:i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0" w15:restartNumberingAfterBreak="0">
    <w:nsid w:val="770D003C"/>
    <w:multiLevelType w:val="hybridMultilevel"/>
    <w:tmpl w:val="6D388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7"/>
  </w:num>
  <w:num w:numId="5">
    <w:abstractNumId w:val="18"/>
  </w:num>
  <w:num w:numId="6">
    <w:abstractNumId w:val="6"/>
  </w:num>
  <w:num w:numId="7">
    <w:abstractNumId w:val="18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7"/>
  </w:num>
  <w:num w:numId="22">
    <w:abstractNumId w:val="17"/>
  </w:num>
  <w:num w:numId="23">
    <w:abstractNumId w:val="14"/>
  </w:num>
  <w:num w:numId="24">
    <w:abstractNumId w:val="21"/>
  </w:num>
  <w:num w:numId="25">
    <w:abstractNumId w:val="12"/>
  </w:num>
  <w:num w:numId="26">
    <w:abstractNumId w:val="13"/>
  </w:num>
  <w:num w:numId="27">
    <w:abstractNumId w:val="13"/>
  </w:num>
  <w:num w:numId="28">
    <w:abstractNumId w:val="13"/>
  </w:num>
  <w:num w:numId="29">
    <w:abstractNumId w:val="15"/>
  </w:num>
  <w:num w:numId="30">
    <w:abstractNumId w:val="13"/>
  </w:num>
  <w:num w:numId="31">
    <w:abstractNumId w:val="11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20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ED"/>
    <w:rsid w:val="0000281B"/>
    <w:rsid w:val="00013AB5"/>
    <w:rsid w:val="000A0349"/>
    <w:rsid w:val="000A2FBE"/>
    <w:rsid w:val="000A3C2D"/>
    <w:rsid w:val="000C14B8"/>
    <w:rsid w:val="000C7FB4"/>
    <w:rsid w:val="00112CA5"/>
    <w:rsid w:val="001137ED"/>
    <w:rsid w:val="00125593"/>
    <w:rsid w:val="0013162B"/>
    <w:rsid w:val="00163141"/>
    <w:rsid w:val="00190A92"/>
    <w:rsid w:val="001A27AB"/>
    <w:rsid w:val="001D41FD"/>
    <w:rsid w:val="00204ABA"/>
    <w:rsid w:val="00244E32"/>
    <w:rsid w:val="0026174D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C4DBF"/>
    <w:rsid w:val="004F62C5"/>
    <w:rsid w:val="005276A4"/>
    <w:rsid w:val="00565B28"/>
    <w:rsid w:val="0058112E"/>
    <w:rsid w:val="00627BED"/>
    <w:rsid w:val="00687195"/>
    <w:rsid w:val="00694844"/>
    <w:rsid w:val="006A1EEE"/>
    <w:rsid w:val="006A4D7F"/>
    <w:rsid w:val="00702A3E"/>
    <w:rsid w:val="007A74B0"/>
    <w:rsid w:val="007B6802"/>
    <w:rsid w:val="007D25AC"/>
    <w:rsid w:val="007E4B9E"/>
    <w:rsid w:val="008303A2"/>
    <w:rsid w:val="00842639"/>
    <w:rsid w:val="00863E11"/>
    <w:rsid w:val="00872986"/>
    <w:rsid w:val="00896876"/>
    <w:rsid w:val="00896DCF"/>
    <w:rsid w:val="00904855"/>
    <w:rsid w:val="00945E28"/>
    <w:rsid w:val="00964BC6"/>
    <w:rsid w:val="0096773F"/>
    <w:rsid w:val="00990B7C"/>
    <w:rsid w:val="009A7877"/>
    <w:rsid w:val="009B5FE2"/>
    <w:rsid w:val="009C0DC6"/>
    <w:rsid w:val="009D3C85"/>
    <w:rsid w:val="009E0D7C"/>
    <w:rsid w:val="00A2406E"/>
    <w:rsid w:val="00A274F0"/>
    <w:rsid w:val="00A36737"/>
    <w:rsid w:val="00A46EAF"/>
    <w:rsid w:val="00AA3C8D"/>
    <w:rsid w:val="00AC5CCF"/>
    <w:rsid w:val="00B031A4"/>
    <w:rsid w:val="00B07DE2"/>
    <w:rsid w:val="00B957C1"/>
    <w:rsid w:val="00BC1939"/>
    <w:rsid w:val="00BD298F"/>
    <w:rsid w:val="00BE18AB"/>
    <w:rsid w:val="00C61003"/>
    <w:rsid w:val="00C7504C"/>
    <w:rsid w:val="00C8737B"/>
    <w:rsid w:val="00C96764"/>
    <w:rsid w:val="00CF57E3"/>
    <w:rsid w:val="00D070E6"/>
    <w:rsid w:val="00D414EB"/>
    <w:rsid w:val="00D77DDF"/>
    <w:rsid w:val="00D861C5"/>
    <w:rsid w:val="00D91004"/>
    <w:rsid w:val="00DE0029"/>
    <w:rsid w:val="00E14AF3"/>
    <w:rsid w:val="00E50B26"/>
    <w:rsid w:val="00E63153"/>
    <w:rsid w:val="00ED48DB"/>
    <w:rsid w:val="00F3213F"/>
    <w:rsid w:val="00F570FC"/>
    <w:rsid w:val="00F57126"/>
    <w:rsid w:val="00F66BAE"/>
    <w:rsid w:val="00F674AD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78114"/>
  <w14:defaultImageDpi w14:val="32767"/>
  <w15:chartTrackingRefBased/>
  <w15:docId w15:val="{8380F5D1-AEFF-44CB-80EA-38D1EBA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9B5FE2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9B5FE2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9B5FE2"/>
    <w:pPr>
      <w:pBdr>
        <w:bottom w:val="single" w:sz="4" w:space="1" w:color="799B3E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9B5FE2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9B5FE2"/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9B5FE2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799B3E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9B5FE2"/>
    <w:pPr>
      <w:spacing w:before="240" w:after="240" w:line="300" w:lineRule="atLeast"/>
    </w:pPr>
    <w:rPr>
      <w:rFonts w:ascii="Arial" w:eastAsia="Times New Roman" w:hAnsi="Arial" w:cs="Arial"/>
      <w:b/>
      <w:bCs/>
      <w:color w:val="799B3E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9B5FE2"/>
    <w:pPr>
      <w:spacing w:before="160" w:after="40" w:line="300" w:lineRule="atLeast"/>
    </w:pPr>
    <w:rPr>
      <w:rFonts w:ascii="Arial" w:eastAsia="Times New Roman" w:hAnsi="Arial" w:cs="Arial"/>
      <w:b/>
      <w:bCs/>
      <w:iCs/>
      <w:color w:val="799B3E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9B5FE2"/>
    <w:pPr>
      <w:spacing w:before="60" w:after="240"/>
    </w:pPr>
    <w:rPr>
      <w:b/>
      <w:color w:val="799B3E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9B5FE2"/>
  </w:style>
  <w:style w:type="paragraph" w:customStyle="1" w:styleId="Filename">
    <w:name w:val="Filename"/>
    <w:basedOn w:val="Normal"/>
    <w:rsid w:val="009B5FE2"/>
    <w:pPr>
      <w:pBdr>
        <w:top w:val="single" w:sz="4" w:space="1" w:color="799B3E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uiPriority w:val="99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B5FE2"/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9B5FE2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9B5FE2"/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9B5FE2"/>
    <w:pPr>
      <w:spacing w:before="240" w:after="60"/>
    </w:pPr>
    <w:rPr>
      <w:b/>
      <w:color w:val="799B3E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C4DBF"/>
    <w:rPr>
      <w:color w:val="954F72" w:themeColor="followedHyperlink"/>
      <w:u w:val="single"/>
    </w:rPr>
  </w:style>
  <w:style w:type="character" w:customStyle="1" w:styleId="contact-line2">
    <w:name w:val="contact-line2"/>
    <w:basedOn w:val="DefaultParagraphFont"/>
    <w:rsid w:val="004C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v.vic.gov.au/sites/default/files/2018-12/Drug%20Court%20catchment%20area.pdf" TargetMode="External"/><Relationship Id="rId13" Type="http://schemas.openxmlformats.org/officeDocument/2006/relationships/hyperlink" Target="mailto:drugcourtshepparton@courts.vic.gov.au" TargetMode="External"/><Relationship Id="rId18" Type="http://schemas.openxmlformats.org/officeDocument/2006/relationships/hyperlink" Target="mailto:SheppartonVLADrugCourt@vla.vic.gov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drugcourtdandenong@courts.vic.gov.au" TargetMode="External"/><Relationship Id="rId17" Type="http://schemas.openxmlformats.org/officeDocument/2006/relationships/hyperlink" Target="mailto:DandenongVLADrugCourt@vla.vic.gov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MelbourneVLADrugCourt@vla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ugcourtmelbourne@courts.vic.gov.a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handbook.vla.vic.gov.au/handbook/24-payments-to-lawyers-and-service-providers/costs-payable-in-criminal-law-matters/fee-schedule-1-lump-sum-and-other-fees-payable-in-criminal-law-matters/tabl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cv.vic.gov.au/about_us/drug-court" TargetMode="External"/><Relationship Id="rId19" Type="http://schemas.openxmlformats.org/officeDocument/2006/relationships/hyperlink" Target="mailto:BallaratVLADrugCourt@vla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v.vic.gov.au/form-finder/request-access-drug-court-form" TargetMode="External"/><Relationship Id="rId14" Type="http://schemas.openxmlformats.org/officeDocument/2006/relationships/hyperlink" Target="mailto:drugcourtballarat@courts.vic.gov.a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2013\Fact%20Sheets\Criminal%20Law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8F8E-F120-4ECD-B889-B9FD9841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Files\Templates2013\Fact Sheets\Criminal Law (Fact Sheet).dotm</Template>
  <TotalTime>1</TotalTime>
  <Pages>3</Pages>
  <Words>1244</Words>
  <Characters>6598</Characters>
  <Application>Microsoft Office Word</Application>
  <DocSecurity>0</DocSecurity>
  <Lines>124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Legal Aid</Company>
  <LinksUpToDate>false</LinksUpToDate>
  <CharactersWithSpaces>7750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Court Info for Lawyers</dc:title>
  <dc:subject/>
  <dc:creator>Victoria Legal Aid</dc:creator>
  <cp:keywords/>
  <dc:description/>
  <cp:lastModifiedBy>Gabrielle Mundana</cp:lastModifiedBy>
  <cp:revision>2</cp:revision>
  <cp:lastPrinted>2021-10-06T03:43:00Z</cp:lastPrinted>
  <dcterms:created xsi:type="dcterms:W3CDTF">2022-03-31T03:22:00Z</dcterms:created>
  <dcterms:modified xsi:type="dcterms:W3CDTF">2022-03-31T03:22:00Z</dcterms:modified>
  <cp:category/>
</cp:coreProperties>
</file>