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8CE79" w14:textId="77777777" w:rsidR="005C5A44" w:rsidRDefault="005C5A44" w:rsidP="005C5A44">
      <w:pPr>
        <w:spacing w:line="240" w:lineRule="auto"/>
        <w:rPr>
          <w:sz w:val="2"/>
          <w:szCs w:val="2"/>
        </w:rPr>
      </w:pPr>
    </w:p>
    <w:p w14:paraId="57E5E2A7" w14:textId="77777777" w:rsidR="005C5A44" w:rsidRDefault="005C5A44" w:rsidP="005C5A44">
      <w:pPr>
        <w:spacing w:line="240" w:lineRule="auto"/>
        <w:rPr>
          <w:sz w:val="2"/>
          <w:szCs w:val="2"/>
        </w:rPr>
      </w:pPr>
    </w:p>
    <w:p w14:paraId="293513AF" w14:textId="77777777" w:rsidR="005C5A44" w:rsidRPr="00661D87" w:rsidRDefault="005C5A44" w:rsidP="005C5A44">
      <w:pPr>
        <w:pStyle w:val="Heading1"/>
      </w:pPr>
      <w:r>
        <w:t>F</w:t>
      </w:r>
      <w:r w:rsidRPr="00661D87">
        <w:t xml:space="preserve">ile </w:t>
      </w:r>
      <w:r>
        <w:t>checklist –</w:t>
      </w:r>
      <w:r w:rsidRPr="00661D87">
        <w:t xml:space="preserve"> </w:t>
      </w:r>
      <w:r>
        <w:rPr>
          <w:i/>
        </w:rPr>
        <w:t>doli i</w:t>
      </w:r>
      <w:r w:rsidRPr="00FC5AD6">
        <w:rPr>
          <w:i/>
        </w:rPr>
        <w:t>ncapax</w:t>
      </w:r>
    </w:p>
    <w:p w14:paraId="7440F371" w14:textId="77777777" w:rsidR="005C5A44" w:rsidRDefault="005C5A44" w:rsidP="005C5A44">
      <w:pPr>
        <w:pStyle w:val="Header"/>
        <w:spacing w:after="360"/>
        <w:rPr>
          <w:b/>
          <w:sz w:val="20"/>
        </w:rPr>
      </w:pPr>
      <w:r w:rsidRPr="00314C11">
        <w:rPr>
          <w:b/>
          <w:sz w:val="20"/>
        </w:rPr>
        <w:t xml:space="preserve">To be </w:t>
      </w:r>
      <w:r>
        <w:rPr>
          <w:b/>
          <w:sz w:val="20"/>
        </w:rPr>
        <w:t xml:space="preserve">completed in all cases where a child is under 14 at the time of the offence and, after use of KCCRM5060 Record of assessment of child under 14 at time of alleged offending, the lawyer considers that the principle of </w:t>
      </w:r>
      <w:r>
        <w:rPr>
          <w:b/>
          <w:i/>
          <w:sz w:val="20"/>
        </w:rPr>
        <w:t>doli incapax</w:t>
      </w:r>
      <w:r>
        <w:rPr>
          <w:b/>
          <w:sz w:val="20"/>
        </w:rPr>
        <w:t xml:space="preserve"> might apply</w:t>
      </w:r>
    </w:p>
    <w:p w14:paraId="7AC83234" w14:textId="77777777" w:rsidR="005C5A44" w:rsidRDefault="005C5A44" w:rsidP="005C5A44">
      <w:pPr>
        <w:pStyle w:val="Header"/>
        <w:spacing w:after="360"/>
        <w:rPr>
          <w:b/>
          <w:lang w:eastAsia="en-AU"/>
        </w:rPr>
      </w:pPr>
      <w:r w:rsidRPr="005E58A0">
        <w:rPr>
          <w:b/>
          <w:lang w:eastAsia="en-AU"/>
        </w:rPr>
        <w:t>Issues and tasks checklist</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5634"/>
      </w:tblGrid>
      <w:tr w:rsidR="005C5A44" w:rsidRPr="000B41C7" w14:paraId="263C71C2" w14:textId="77777777" w:rsidTr="00D40783">
        <w:trPr>
          <w:tblHeader/>
        </w:trPr>
        <w:tc>
          <w:tcPr>
            <w:tcW w:w="2189" w:type="pct"/>
            <w:tcBorders>
              <w:bottom w:val="single" w:sz="4" w:space="0" w:color="auto"/>
            </w:tcBorders>
            <w:shd w:val="clear" w:color="auto" w:fill="E6E6E6"/>
          </w:tcPr>
          <w:p w14:paraId="6D3AF457" w14:textId="77777777" w:rsidR="005C5A44" w:rsidRPr="000B41C7" w:rsidRDefault="005C5A44" w:rsidP="00D40783">
            <w:pPr>
              <w:pStyle w:val="TableText"/>
              <w:rPr>
                <w:b/>
                <w:lang w:eastAsia="en-AU"/>
              </w:rPr>
            </w:pPr>
            <w:r w:rsidRPr="000B41C7">
              <w:rPr>
                <w:b/>
                <w:lang w:eastAsia="en-AU"/>
              </w:rPr>
              <w:t>Issues</w:t>
            </w:r>
          </w:p>
        </w:tc>
        <w:tc>
          <w:tcPr>
            <w:tcW w:w="2811" w:type="pct"/>
            <w:tcBorders>
              <w:bottom w:val="single" w:sz="4" w:space="0" w:color="auto"/>
            </w:tcBorders>
            <w:shd w:val="clear" w:color="auto" w:fill="E6E6E6"/>
          </w:tcPr>
          <w:p w14:paraId="09BCACC3" w14:textId="77777777" w:rsidR="005C5A44" w:rsidRPr="000B41C7" w:rsidRDefault="005C5A44" w:rsidP="00D40783">
            <w:pPr>
              <w:pStyle w:val="TableText"/>
              <w:jc w:val="center"/>
              <w:rPr>
                <w:b/>
                <w:lang w:eastAsia="en-AU"/>
              </w:rPr>
            </w:pPr>
            <w:r w:rsidRPr="000B41C7">
              <w:rPr>
                <w:b/>
                <w:lang w:eastAsia="en-AU"/>
              </w:rPr>
              <w:t>Comment (Y/N and notes)</w:t>
            </w:r>
          </w:p>
        </w:tc>
      </w:tr>
      <w:tr w:rsidR="005C5A44" w:rsidRPr="00CE5071" w14:paraId="5212EBD2" w14:textId="77777777" w:rsidTr="00D40783">
        <w:tc>
          <w:tcPr>
            <w:tcW w:w="2189" w:type="pct"/>
            <w:shd w:val="clear" w:color="auto" w:fill="auto"/>
          </w:tcPr>
          <w:p w14:paraId="77E4ECCD" w14:textId="77777777" w:rsidR="005C5A44" w:rsidRDefault="005C5A44" w:rsidP="00D40783">
            <w:pPr>
              <w:pStyle w:val="TableText"/>
              <w:rPr>
                <w:lang w:eastAsia="en-AU"/>
              </w:rPr>
            </w:pPr>
            <w:r>
              <w:rPr>
                <w:lang w:eastAsia="en-AU"/>
              </w:rPr>
              <w:t xml:space="preserve">Take instructions from the client and assess </w:t>
            </w:r>
            <w:r w:rsidRPr="00C94329">
              <w:rPr>
                <w:i/>
                <w:lang w:eastAsia="en-AU"/>
              </w:rPr>
              <w:t>mens rea</w:t>
            </w:r>
            <w:r>
              <w:rPr>
                <w:lang w:eastAsia="en-AU"/>
              </w:rPr>
              <w:t xml:space="preserve"> using </w:t>
            </w:r>
          </w:p>
          <w:p w14:paraId="245D5FB2" w14:textId="77777777" w:rsidR="005C5A44" w:rsidRPr="00D73D82" w:rsidRDefault="005C5A44" w:rsidP="005C5A44">
            <w:pPr>
              <w:pStyle w:val="TableText"/>
              <w:numPr>
                <w:ilvl w:val="0"/>
                <w:numId w:val="41"/>
              </w:numPr>
              <w:rPr>
                <w:lang w:eastAsia="en-AU"/>
              </w:rPr>
            </w:pPr>
            <w:r>
              <w:rPr>
                <w:lang w:eastAsia="en-AU"/>
              </w:rPr>
              <w:t xml:space="preserve">KCCRLM5020 record of instructions – duty lawyer </w:t>
            </w:r>
          </w:p>
          <w:p w14:paraId="2D2D06CF" w14:textId="77777777" w:rsidR="005C5A44" w:rsidRPr="00D73D82" w:rsidRDefault="005C5A44" w:rsidP="005C5A44">
            <w:pPr>
              <w:pStyle w:val="TableText"/>
              <w:numPr>
                <w:ilvl w:val="0"/>
                <w:numId w:val="41"/>
              </w:numPr>
              <w:rPr>
                <w:lang w:eastAsia="en-AU"/>
              </w:rPr>
            </w:pPr>
            <w:r w:rsidRPr="00D73D82">
              <w:rPr>
                <w:lang w:eastAsia="en-AU"/>
              </w:rPr>
              <w:t>KCCR</w:t>
            </w:r>
            <w:r>
              <w:rPr>
                <w:lang w:eastAsia="en-AU"/>
              </w:rPr>
              <w:t>L</w:t>
            </w:r>
            <w:r w:rsidRPr="00D73D82">
              <w:rPr>
                <w:lang w:eastAsia="en-AU"/>
              </w:rPr>
              <w:t>M5050 record of assessment of capacity, and</w:t>
            </w:r>
          </w:p>
          <w:p w14:paraId="336AF031" w14:textId="77777777" w:rsidR="005C5A44" w:rsidRPr="00D73D82" w:rsidRDefault="005C5A44" w:rsidP="005C5A44">
            <w:pPr>
              <w:pStyle w:val="TableText"/>
              <w:numPr>
                <w:ilvl w:val="0"/>
                <w:numId w:val="41"/>
              </w:numPr>
              <w:rPr>
                <w:szCs w:val="22"/>
              </w:rPr>
            </w:pPr>
            <w:r w:rsidRPr="00D73D82">
              <w:rPr>
                <w:lang w:eastAsia="en-AU"/>
              </w:rPr>
              <w:t>KCCR</w:t>
            </w:r>
            <w:r>
              <w:rPr>
                <w:lang w:eastAsia="en-AU"/>
              </w:rPr>
              <w:t>L</w:t>
            </w:r>
            <w:r w:rsidRPr="00D73D82">
              <w:rPr>
                <w:lang w:eastAsia="en-AU"/>
              </w:rPr>
              <w:t xml:space="preserve">M5060 record of assessment of </w:t>
            </w:r>
            <w:r>
              <w:rPr>
                <w:lang w:eastAsia="en-AU"/>
              </w:rPr>
              <w:t>child under 14 at time of alleged offending</w:t>
            </w:r>
          </w:p>
        </w:tc>
        <w:tc>
          <w:tcPr>
            <w:tcW w:w="2811" w:type="pct"/>
            <w:shd w:val="clear" w:color="auto" w:fill="auto"/>
          </w:tcPr>
          <w:p w14:paraId="288D5C19" w14:textId="77777777" w:rsidR="005C5A44" w:rsidRPr="008B6467" w:rsidRDefault="005C5A44" w:rsidP="00D40783">
            <w:pPr>
              <w:pStyle w:val="TableText"/>
              <w:rPr>
                <w:lang w:eastAsia="en-AU"/>
              </w:rPr>
            </w:pPr>
          </w:p>
        </w:tc>
      </w:tr>
      <w:tr w:rsidR="005C5A44" w:rsidRPr="00CE5071" w14:paraId="03702FAE" w14:textId="77777777" w:rsidTr="00D40783">
        <w:tc>
          <w:tcPr>
            <w:tcW w:w="2189" w:type="pct"/>
            <w:shd w:val="clear" w:color="auto" w:fill="auto"/>
          </w:tcPr>
          <w:p w14:paraId="3AEDAEBB" w14:textId="77777777" w:rsidR="005C5A44" w:rsidRDefault="005C5A44" w:rsidP="00D40783">
            <w:pPr>
              <w:pStyle w:val="TableText"/>
              <w:rPr>
                <w:lang w:eastAsia="en-AU"/>
              </w:rPr>
            </w:pPr>
            <w:r>
              <w:rPr>
                <w:lang w:eastAsia="en-AU"/>
              </w:rPr>
              <w:t>Incomplete brief of evidence? Further disclosure required? Matters to consider include:</w:t>
            </w:r>
          </w:p>
          <w:p w14:paraId="4B5514CC" w14:textId="77777777" w:rsidR="005C5A44" w:rsidRDefault="005C5A44" w:rsidP="005C5A44">
            <w:pPr>
              <w:pStyle w:val="TableText"/>
              <w:numPr>
                <w:ilvl w:val="0"/>
                <w:numId w:val="38"/>
              </w:numPr>
              <w:rPr>
                <w:lang w:eastAsia="en-AU"/>
              </w:rPr>
            </w:pPr>
            <w:r>
              <w:rPr>
                <w:lang w:eastAsia="en-AU"/>
              </w:rPr>
              <w:t>DVD record of interview (AV not audio only)</w:t>
            </w:r>
          </w:p>
          <w:p w14:paraId="1A0BC049" w14:textId="77777777" w:rsidR="005C5A44" w:rsidRDefault="005C5A44" w:rsidP="005C5A44">
            <w:pPr>
              <w:pStyle w:val="TableText"/>
              <w:numPr>
                <w:ilvl w:val="0"/>
                <w:numId w:val="38"/>
              </w:numPr>
              <w:rPr>
                <w:lang w:eastAsia="en-AU"/>
              </w:rPr>
            </w:pPr>
            <w:r>
              <w:rPr>
                <w:lang w:eastAsia="en-AU"/>
              </w:rPr>
              <w:t>Statements of all witnesses</w:t>
            </w:r>
          </w:p>
          <w:p w14:paraId="4FDC72C1" w14:textId="77777777" w:rsidR="005C5A44" w:rsidRDefault="005C5A44" w:rsidP="005C5A44">
            <w:pPr>
              <w:pStyle w:val="TableText"/>
              <w:numPr>
                <w:ilvl w:val="0"/>
                <w:numId w:val="38"/>
              </w:numPr>
              <w:rPr>
                <w:lang w:eastAsia="en-AU"/>
              </w:rPr>
            </w:pPr>
            <w:r>
              <w:rPr>
                <w:lang w:eastAsia="en-AU"/>
              </w:rPr>
              <w:t>CCTV or other recordings of the offending/ or relevant post offence conduct</w:t>
            </w:r>
          </w:p>
          <w:p w14:paraId="572B45D5" w14:textId="77777777" w:rsidR="005C5A44" w:rsidRDefault="005C5A44" w:rsidP="005C5A44">
            <w:pPr>
              <w:pStyle w:val="TableText"/>
              <w:numPr>
                <w:ilvl w:val="0"/>
                <w:numId w:val="38"/>
              </w:numPr>
              <w:rPr>
                <w:lang w:eastAsia="en-AU"/>
              </w:rPr>
            </w:pPr>
            <w:r>
              <w:rPr>
                <w:lang w:eastAsia="en-AU"/>
              </w:rPr>
              <w:t>Planning of actions (complex preparation cf spur of the moment)</w:t>
            </w:r>
          </w:p>
          <w:p w14:paraId="3222CF8D" w14:textId="77777777" w:rsidR="005C5A44" w:rsidRDefault="005C5A44" w:rsidP="005C5A44">
            <w:pPr>
              <w:pStyle w:val="TableText"/>
              <w:numPr>
                <w:ilvl w:val="0"/>
                <w:numId w:val="38"/>
              </w:numPr>
              <w:rPr>
                <w:lang w:eastAsia="en-AU"/>
              </w:rPr>
            </w:pPr>
            <w:r>
              <w:rPr>
                <w:lang w:eastAsia="en-AU"/>
              </w:rPr>
              <w:t>Client’s role in offending (principal or marginal participant)</w:t>
            </w:r>
          </w:p>
          <w:p w14:paraId="7C811F86" w14:textId="77777777" w:rsidR="005C5A44" w:rsidRDefault="005C5A44" w:rsidP="005C5A44">
            <w:pPr>
              <w:pStyle w:val="TableText"/>
              <w:numPr>
                <w:ilvl w:val="0"/>
                <w:numId w:val="38"/>
              </w:numPr>
              <w:rPr>
                <w:lang w:eastAsia="en-AU"/>
              </w:rPr>
            </w:pPr>
            <w:r>
              <w:rPr>
                <w:lang w:eastAsia="en-AU"/>
              </w:rPr>
              <w:t>Details of all prior contact with the police (including statements/CCTV/ROI etc)</w:t>
            </w:r>
          </w:p>
          <w:p w14:paraId="00A34694" w14:textId="77777777" w:rsidR="005C5A44" w:rsidRDefault="005C5A44" w:rsidP="005C5A44">
            <w:pPr>
              <w:pStyle w:val="TableText"/>
              <w:numPr>
                <w:ilvl w:val="0"/>
                <w:numId w:val="38"/>
              </w:numPr>
              <w:rPr>
                <w:lang w:eastAsia="en-AU"/>
              </w:rPr>
            </w:pPr>
            <w:r>
              <w:rPr>
                <w:lang w:eastAsia="en-AU"/>
              </w:rPr>
              <w:t>Details of arrest</w:t>
            </w:r>
          </w:p>
          <w:p w14:paraId="12D748A7" w14:textId="77777777" w:rsidR="005C5A44" w:rsidRPr="00075633" w:rsidRDefault="005C5A44" w:rsidP="005C5A44">
            <w:pPr>
              <w:pStyle w:val="TableText"/>
              <w:numPr>
                <w:ilvl w:val="0"/>
                <w:numId w:val="38"/>
              </w:numPr>
              <w:rPr>
                <w:lang w:eastAsia="en-AU"/>
              </w:rPr>
            </w:pPr>
            <w:r>
              <w:rPr>
                <w:lang w:eastAsia="en-AU"/>
              </w:rPr>
              <w:t xml:space="preserve">Any other evidence the police intend to lead to rebut </w:t>
            </w:r>
            <w:r>
              <w:rPr>
                <w:i/>
                <w:lang w:eastAsia="en-AU"/>
              </w:rPr>
              <w:t>doli.</w:t>
            </w:r>
          </w:p>
        </w:tc>
        <w:tc>
          <w:tcPr>
            <w:tcW w:w="2811" w:type="pct"/>
            <w:shd w:val="clear" w:color="auto" w:fill="auto"/>
          </w:tcPr>
          <w:p w14:paraId="680ADA93" w14:textId="77777777" w:rsidR="005C5A44" w:rsidRPr="008B6467" w:rsidRDefault="005C5A44" w:rsidP="00D40783">
            <w:pPr>
              <w:pStyle w:val="TableText"/>
              <w:rPr>
                <w:lang w:eastAsia="en-AU"/>
              </w:rPr>
            </w:pPr>
          </w:p>
        </w:tc>
      </w:tr>
      <w:tr w:rsidR="005C5A44" w:rsidRPr="00CE5071" w14:paraId="508441E1" w14:textId="77777777" w:rsidTr="00D40783">
        <w:tc>
          <w:tcPr>
            <w:tcW w:w="2189" w:type="pct"/>
            <w:shd w:val="clear" w:color="auto" w:fill="auto"/>
          </w:tcPr>
          <w:p w14:paraId="01E1E228" w14:textId="77777777" w:rsidR="005C5A44" w:rsidRDefault="005C5A44" w:rsidP="00D40783">
            <w:pPr>
              <w:pStyle w:val="TableText"/>
              <w:rPr>
                <w:lang w:eastAsia="en-AU"/>
              </w:rPr>
            </w:pPr>
            <w:r>
              <w:rPr>
                <w:lang w:eastAsia="en-AU"/>
              </w:rPr>
              <w:t>Existing expert reports? Medical, psychiatric, other? Matters to consider include:</w:t>
            </w:r>
          </w:p>
          <w:p w14:paraId="51ADD7FF" w14:textId="77777777" w:rsidR="005C5A44" w:rsidRDefault="005C5A44" w:rsidP="005C5A44">
            <w:pPr>
              <w:pStyle w:val="TableText"/>
              <w:numPr>
                <w:ilvl w:val="0"/>
                <w:numId w:val="39"/>
              </w:numPr>
              <w:rPr>
                <w:lang w:eastAsia="en-AU"/>
              </w:rPr>
            </w:pPr>
            <w:r>
              <w:rPr>
                <w:lang w:eastAsia="en-AU"/>
              </w:rPr>
              <w:t>Any educational assessments, especially if at a special school</w:t>
            </w:r>
          </w:p>
          <w:p w14:paraId="154425B6" w14:textId="77777777" w:rsidR="005C5A44" w:rsidRDefault="005C5A44" w:rsidP="005C5A44">
            <w:pPr>
              <w:pStyle w:val="TableText"/>
              <w:numPr>
                <w:ilvl w:val="0"/>
                <w:numId w:val="39"/>
              </w:numPr>
              <w:rPr>
                <w:lang w:eastAsia="en-AU"/>
              </w:rPr>
            </w:pPr>
            <w:r>
              <w:rPr>
                <w:lang w:eastAsia="en-AU"/>
              </w:rPr>
              <w:t>Any disability assessments, especially if registered with Disability Services</w:t>
            </w:r>
          </w:p>
          <w:p w14:paraId="726779F3" w14:textId="77777777" w:rsidR="005C5A44" w:rsidRPr="00FA3F90" w:rsidRDefault="005C5A44" w:rsidP="005C5A44">
            <w:pPr>
              <w:pStyle w:val="TableText"/>
              <w:numPr>
                <w:ilvl w:val="0"/>
                <w:numId w:val="39"/>
              </w:numPr>
              <w:rPr>
                <w:lang w:eastAsia="en-AU"/>
              </w:rPr>
            </w:pPr>
            <w:r>
              <w:rPr>
                <w:lang w:eastAsia="en-AU"/>
              </w:rPr>
              <w:t xml:space="preserve">Any treating medicos especially if seeing a paediatrician, child psychiatrist, psychologist or counsellor </w:t>
            </w:r>
            <w:r>
              <w:rPr>
                <w:lang w:eastAsia="en-AU"/>
              </w:rPr>
              <w:lastRenderedPageBreak/>
              <w:t xml:space="preserve">(request reports using </w:t>
            </w:r>
            <w:r w:rsidRPr="00DA3869">
              <w:rPr>
                <w:lang w:eastAsia="en-AU"/>
              </w:rPr>
              <w:t xml:space="preserve">KCCRLE0100 </w:t>
            </w:r>
            <w:r>
              <w:rPr>
                <w:lang w:eastAsia="en-AU"/>
              </w:rPr>
              <w:t>–</w:t>
            </w:r>
            <w:r w:rsidRPr="00DA3869">
              <w:rPr>
                <w:lang w:eastAsia="en-AU"/>
              </w:rPr>
              <w:t xml:space="preserve"> Ltr_Expert_medical report_treating practitioner</w:t>
            </w:r>
            <w:r>
              <w:rPr>
                <w:lang w:eastAsia="en-AU"/>
              </w:rPr>
              <w:t>)</w:t>
            </w:r>
          </w:p>
        </w:tc>
        <w:tc>
          <w:tcPr>
            <w:tcW w:w="2811" w:type="pct"/>
            <w:shd w:val="clear" w:color="auto" w:fill="auto"/>
          </w:tcPr>
          <w:p w14:paraId="06BE6062" w14:textId="77777777" w:rsidR="005C5A44" w:rsidRPr="008B6467" w:rsidRDefault="005C5A44" w:rsidP="00D40783">
            <w:pPr>
              <w:pStyle w:val="TableText"/>
              <w:rPr>
                <w:lang w:eastAsia="en-AU"/>
              </w:rPr>
            </w:pPr>
          </w:p>
        </w:tc>
      </w:tr>
      <w:tr w:rsidR="005C5A44" w:rsidRPr="00CE5071" w14:paraId="37238F2C" w14:textId="77777777" w:rsidTr="00D40783">
        <w:tc>
          <w:tcPr>
            <w:tcW w:w="2189" w:type="pct"/>
            <w:shd w:val="clear" w:color="auto" w:fill="auto"/>
          </w:tcPr>
          <w:p w14:paraId="7CE02A01" w14:textId="77777777" w:rsidR="005C5A44" w:rsidRDefault="005C5A44" w:rsidP="00D40783">
            <w:pPr>
              <w:pStyle w:val="TableText"/>
              <w:rPr>
                <w:lang w:eastAsia="en-AU"/>
              </w:rPr>
            </w:pPr>
            <w:r>
              <w:br w:type="page"/>
            </w:r>
            <w:r>
              <w:rPr>
                <w:lang w:eastAsia="en-AU"/>
              </w:rPr>
              <w:t>Expert assessment? Matters to consider include:</w:t>
            </w:r>
          </w:p>
          <w:p w14:paraId="3EB85D54" w14:textId="77777777" w:rsidR="005C5A44" w:rsidRDefault="005C5A44" w:rsidP="005C5A44">
            <w:pPr>
              <w:pStyle w:val="TableText"/>
              <w:numPr>
                <w:ilvl w:val="0"/>
                <w:numId w:val="40"/>
              </w:numPr>
              <w:rPr>
                <w:lang w:eastAsia="en-AU"/>
              </w:rPr>
            </w:pPr>
            <w:r>
              <w:rPr>
                <w:lang w:eastAsia="en-AU"/>
              </w:rPr>
              <w:t>Private or Clinic?</w:t>
            </w:r>
          </w:p>
          <w:p w14:paraId="41E127D2" w14:textId="77777777" w:rsidR="005C5A44" w:rsidRDefault="005C5A44" w:rsidP="005C5A44">
            <w:pPr>
              <w:pStyle w:val="TableText"/>
              <w:numPr>
                <w:ilvl w:val="0"/>
                <w:numId w:val="40"/>
              </w:numPr>
              <w:rPr>
                <w:lang w:eastAsia="en-AU"/>
              </w:rPr>
            </w:pPr>
            <w:r>
              <w:rPr>
                <w:lang w:eastAsia="en-AU"/>
              </w:rPr>
              <w:t>If private:</w:t>
            </w:r>
          </w:p>
          <w:p w14:paraId="75C187FD" w14:textId="77777777" w:rsidR="005C5A44" w:rsidRDefault="005C5A44" w:rsidP="005C5A44">
            <w:pPr>
              <w:pStyle w:val="TableText"/>
              <w:numPr>
                <w:ilvl w:val="1"/>
                <w:numId w:val="40"/>
              </w:numPr>
              <w:rPr>
                <w:lang w:eastAsia="en-AU"/>
              </w:rPr>
            </w:pPr>
            <w:r>
              <w:rPr>
                <w:lang w:eastAsia="en-AU"/>
              </w:rPr>
              <w:t>Book appointment (see experts register) avoiding delay</w:t>
            </w:r>
          </w:p>
          <w:p w14:paraId="1C8AF9E9" w14:textId="77777777" w:rsidR="005C5A44" w:rsidRDefault="005C5A44" w:rsidP="005C5A44">
            <w:pPr>
              <w:pStyle w:val="TableText"/>
              <w:numPr>
                <w:ilvl w:val="1"/>
                <w:numId w:val="40"/>
              </w:numPr>
              <w:rPr>
                <w:lang w:eastAsia="en-AU"/>
              </w:rPr>
            </w:pPr>
            <w:r>
              <w:rPr>
                <w:lang w:eastAsia="en-AU"/>
              </w:rPr>
              <w:t>Notify the client of the appointment in writing (</w:t>
            </w:r>
            <w:r w:rsidRPr="00EB6103">
              <w:rPr>
                <w:lang w:eastAsia="en-AU"/>
              </w:rPr>
              <w:t xml:space="preserve">KCCRLCL0510 </w:t>
            </w:r>
            <w:r>
              <w:rPr>
                <w:lang w:eastAsia="en-AU"/>
              </w:rPr>
              <w:t>–</w:t>
            </w:r>
            <w:r w:rsidRPr="00EB6103">
              <w:rPr>
                <w:lang w:eastAsia="en-AU"/>
              </w:rPr>
              <w:t xml:space="preserve"> Ltr_Client_psych appointment</w:t>
            </w:r>
            <w:r>
              <w:rPr>
                <w:lang w:eastAsia="en-AU"/>
              </w:rPr>
              <w:t>)</w:t>
            </w:r>
          </w:p>
          <w:p w14:paraId="1AA22302" w14:textId="77777777" w:rsidR="005C5A44" w:rsidRDefault="005C5A44" w:rsidP="005C5A44">
            <w:pPr>
              <w:pStyle w:val="TableText"/>
              <w:numPr>
                <w:ilvl w:val="1"/>
                <w:numId w:val="40"/>
              </w:numPr>
              <w:rPr>
                <w:lang w:eastAsia="en-AU"/>
              </w:rPr>
            </w:pPr>
            <w:r>
              <w:rPr>
                <w:lang w:eastAsia="en-AU"/>
              </w:rPr>
              <w:t>Send letter to the expert with necessary enclosures and details (</w:t>
            </w:r>
            <w:r w:rsidRPr="00EB6103">
              <w:rPr>
                <w:lang w:eastAsia="en-AU"/>
              </w:rPr>
              <w:t xml:space="preserve">KCCRLE0120 </w:t>
            </w:r>
            <w:r>
              <w:rPr>
                <w:lang w:eastAsia="en-AU"/>
              </w:rPr>
              <w:t>–</w:t>
            </w:r>
            <w:r w:rsidRPr="00EB6103">
              <w:rPr>
                <w:lang w:eastAsia="en-AU"/>
              </w:rPr>
              <w:t xml:space="preserve"> Ltr_Expert_doli incapax assessment</w:t>
            </w:r>
            <w:r>
              <w:rPr>
                <w:lang w:eastAsia="en-AU"/>
              </w:rPr>
              <w:t>)</w:t>
            </w:r>
          </w:p>
          <w:p w14:paraId="5925C284" w14:textId="77777777" w:rsidR="005C5A44" w:rsidRDefault="005C5A44" w:rsidP="005C5A44">
            <w:pPr>
              <w:pStyle w:val="TableText"/>
              <w:numPr>
                <w:ilvl w:val="1"/>
                <w:numId w:val="40"/>
              </w:numPr>
              <w:rPr>
                <w:lang w:eastAsia="en-AU"/>
              </w:rPr>
            </w:pPr>
            <w:r>
              <w:rPr>
                <w:lang w:eastAsia="en-AU"/>
              </w:rPr>
              <w:t>Remind the client by phone the day before the appointment</w:t>
            </w:r>
          </w:p>
          <w:p w14:paraId="18A42409" w14:textId="77777777" w:rsidR="005C5A44" w:rsidRDefault="005C5A44" w:rsidP="005C5A44">
            <w:pPr>
              <w:pStyle w:val="TableText"/>
              <w:numPr>
                <w:ilvl w:val="1"/>
                <w:numId w:val="40"/>
              </w:numPr>
              <w:rPr>
                <w:lang w:eastAsia="en-AU"/>
              </w:rPr>
            </w:pPr>
            <w:r>
              <w:rPr>
                <w:lang w:eastAsia="en-AU"/>
              </w:rPr>
              <w:t>Diarise report return</w:t>
            </w:r>
          </w:p>
          <w:p w14:paraId="6C073E31" w14:textId="77777777" w:rsidR="005C5A44" w:rsidRDefault="005C5A44" w:rsidP="005C5A44">
            <w:pPr>
              <w:pStyle w:val="TableText"/>
              <w:numPr>
                <w:ilvl w:val="0"/>
                <w:numId w:val="40"/>
              </w:numPr>
              <w:rPr>
                <w:lang w:eastAsia="en-AU"/>
              </w:rPr>
            </w:pPr>
            <w:r>
              <w:rPr>
                <w:lang w:eastAsia="en-AU"/>
              </w:rPr>
              <w:t>All police and other material available before assessment?</w:t>
            </w:r>
          </w:p>
          <w:p w14:paraId="6CE9BE3B" w14:textId="77777777" w:rsidR="005C5A44" w:rsidRDefault="005C5A44" w:rsidP="005C5A44">
            <w:pPr>
              <w:pStyle w:val="TableText"/>
              <w:numPr>
                <w:ilvl w:val="0"/>
                <w:numId w:val="40"/>
              </w:numPr>
              <w:rPr>
                <w:lang w:eastAsia="en-AU"/>
              </w:rPr>
            </w:pPr>
            <w:r>
              <w:rPr>
                <w:lang w:eastAsia="en-AU"/>
              </w:rPr>
              <w:t>Review report to ensure all available evidence is considered to minimise impact of examination by prosecution</w:t>
            </w:r>
          </w:p>
          <w:p w14:paraId="5E33D4F1" w14:textId="77777777" w:rsidR="005C5A44" w:rsidRDefault="005C5A44" w:rsidP="005C5A44">
            <w:pPr>
              <w:pStyle w:val="TableText"/>
              <w:numPr>
                <w:ilvl w:val="0"/>
                <w:numId w:val="40"/>
              </w:numPr>
              <w:rPr>
                <w:lang w:eastAsia="en-AU"/>
              </w:rPr>
            </w:pPr>
            <w:r>
              <w:rPr>
                <w:lang w:eastAsia="en-AU"/>
              </w:rPr>
              <w:t>If contested hearing is booked:</w:t>
            </w:r>
          </w:p>
          <w:p w14:paraId="057D16F8" w14:textId="77777777" w:rsidR="005C5A44" w:rsidRDefault="005C5A44" w:rsidP="005C5A44">
            <w:pPr>
              <w:pStyle w:val="TableText"/>
              <w:numPr>
                <w:ilvl w:val="1"/>
                <w:numId w:val="40"/>
              </w:numPr>
              <w:rPr>
                <w:lang w:eastAsia="en-AU"/>
              </w:rPr>
            </w:pPr>
            <w:r>
              <w:rPr>
                <w:lang w:eastAsia="en-AU"/>
              </w:rPr>
              <w:t>Issue subpoena for private expert</w:t>
            </w:r>
          </w:p>
          <w:p w14:paraId="2AE6CD69" w14:textId="77777777" w:rsidR="005C5A44" w:rsidRDefault="005C5A44" w:rsidP="005C5A44">
            <w:pPr>
              <w:pStyle w:val="TableText"/>
              <w:numPr>
                <w:ilvl w:val="1"/>
                <w:numId w:val="40"/>
              </w:numPr>
              <w:rPr>
                <w:lang w:eastAsia="en-AU"/>
              </w:rPr>
            </w:pPr>
            <w:r>
              <w:rPr>
                <w:lang w:eastAsia="en-AU"/>
              </w:rPr>
              <w:t xml:space="preserve">Send </w:t>
            </w:r>
            <w:r w:rsidRPr="00EB6103">
              <w:rPr>
                <w:lang w:eastAsia="en-AU"/>
              </w:rPr>
              <w:t xml:space="preserve">KCCRLOP0250 </w:t>
            </w:r>
            <w:r>
              <w:rPr>
                <w:lang w:eastAsia="en-AU"/>
              </w:rPr>
              <w:t>–</w:t>
            </w:r>
            <w:r w:rsidRPr="00EB6103">
              <w:rPr>
                <w:lang w:eastAsia="en-AU"/>
              </w:rPr>
              <w:t xml:space="preserve"> Ltr_pre_Other_Childrens Court Clinic</w:t>
            </w:r>
            <w:r>
              <w:rPr>
                <w:lang w:eastAsia="en-AU"/>
              </w:rPr>
              <w:t xml:space="preserve"> to the Court to require attendance of the Clinician</w:t>
            </w:r>
          </w:p>
        </w:tc>
        <w:tc>
          <w:tcPr>
            <w:tcW w:w="2811" w:type="pct"/>
            <w:shd w:val="clear" w:color="auto" w:fill="auto"/>
          </w:tcPr>
          <w:p w14:paraId="7362FA27" w14:textId="77777777" w:rsidR="005C5A44" w:rsidRPr="008B6467" w:rsidRDefault="005C5A44" w:rsidP="00D40783">
            <w:pPr>
              <w:pStyle w:val="TableText"/>
              <w:rPr>
                <w:lang w:eastAsia="en-AU"/>
              </w:rPr>
            </w:pPr>
          </w:p>
        </w:tc>
      </w:tr>
    </w:tbl>
    <w:p w14:paraId="6A385F20" w14:textId="77777777" w:rsidR="005C5A44" w:rsidRDefault="005C5A44" w:rsidP="005C5A44">
      <w:pPr>
        <w:pStyle w:val="TableText"/>
        <w:spacing w:before="0" w:after="0"/>
        <w:rPr>
          <w:sz w:val="2"/>
          <w:szCs w:val="2"/>
          <w:lang w:eastAsia="en-AU"/>
        </w:rPr>
      </w:pPr>
      <w:r>
        <w:rPr>
          <w:sz w:val="2"/>
          <w:szCs w:val="2"/>
          <w:lang w:eastAsia="en-AU"/>
        </w:rPr>
        <w:t xml:space="preserve">                                                                         </w:t>
      </w:r>
    </w:p>
    <w:p w14:paraId="0FA64E28" w14:textId="77777777" w:rsidR="005C5A44" w:rsidRDefault="005C5A44" w:rsidP="005C5A44">
      <w:pPr>
        <w:pStyle w:val="VLADocumentText"/>
      </w:pPr>
    </w:p>
    <w:p w14:paraId="7A110DD9" w14:textId="77777777" w:rsidR="005C5A44" w:rsidRDefault="005C5A44" w:rsidP="005C5A44">
      <w:pPr>
        <w:pStyle w:val="VLADocumentText"/>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tblGrid>
      <w:tr w:rsidR="005C5A44" w14:paraId="5D0F93EA" w14:textId="77777777" w:rsidTr="00D40783">
        <w:trPr>
          <w:trHeight w:val="300"/>
        </w:trPr>
        <w:tc>
          <w:tcPr>
            <w:tcW w:w="9795" w:type="dxa"/>
            <w:tcBorders>
              <w:top w:val="single" w:sz="4" w:space="0" w:color="auto"/>
              <w:left w:val="single" w:sz="4" w:space="0" w:color="auto"/>
              <w:bottom w:val="single" w:sz="4" w:space="0" w:color="auto"/>
              <w:right w:val="single" w:sz="4" w:space="0" w:color="auto"/>
            </w:tcBorders>
            <w:hideMark/>
          </w:tcPr>
          <w:p w14:paraId="7B4D3C4F" w14:textId="77777777" w:rsidR="005C5A44" w:rsidRDefault="005C5A44" w:rsidP="00D40783">
            <w:pPr>
              <w:pStyle w:val="NormalWeb"/>
              <w:shd w:val="clear" w:color="auto" w:fill="FFFFFF"/>
              <w:ind w:left="50"/>
              <w:rPr>
                <w:rFonts w:ascii="Arial" w:hAnsi="Arial" w:cs="Arial"/>
                <w:b/>
                <w:bCs/>
                <w:i/>
                <w:iCs/>
                <w:color w:val="1F497D"/>
                <w:sz w:val="22"/>
                <w:lang w:eastAsia="en-AU"/>
              </w:rPr>
            </w:pPr>
            <w:r>
              <w:rPr>
                <w:rFonts w:ascii="Arial" w:hAnsi="Arial" w:cs="Arial"/>
                <w:b/>
                <w:bCs/>
                <w:i/>
                <w:iCs/>
                <w:color w:val="1F497D"/>
                <w:sz w:val="22"/>
              </w:rPr>
              <w:t>Work instruction</w:t>
            </w:r>
          </w:p>
        </w:tc>
      </w:tr>
      <w:tr w:rsidR="005C5A44" w14:paraId="51CCA373" w14:textId="77777777" w:rsidTr="00D40783">
        <w:trPr>
          <w:trHeight w:val="1410"/>
        </w:trPr>
        <w:tc>
          <w:tcPr>
            <w:tcW w:w="9795" w:type="dxa"/>
            <w:tcBorders>
              <w:top w:val="single" w:sz="4" w:space="0" w:color="auto"/>
              <w:left w:val="single" w:sz="4" w:space="0" w:color="auto"/>
              <w:bottom w:val="single" w:sz="4" w:space="0" w:color="auto"/>
              <w:right w:val="single" w:sz="4" w:space="0" w:color="auto"/>
            </w:tcBorders>
            <w:hideMark/>
          </w:tcPr>
          <w:p w14:paraId="39AA6388" w14:textId="77777777" w:rsidR="005C5A44" w:rsidRDefault="005C5A44" w:rsidP="005C5A44">
            <w:pPr>
              <w:pStyle w:val="NormalWeb"/>
              <w:numPr>
                <w:ilvl w:val="0"/>
                <w:numId w:val="42"/>
              </w:numPr>
              <w:shd w:val="clear" w:color="auto" w:fill="FFFFFF"/>
              <w:spacing w:line="240" w:lineRule="auto"/>
              <w:rPr>
                <w:rFonts w:ascii="Arial" w:hAnsi="Arial" w:cs="Arial"/>
                <w:color w:val="000000"/>
                <w:sz w:val="22"/>
              </w:rPr>
            </w:pPr>
            <w:r>
              <w:rPr>
                <w:rFonts w:ascii="Arial" w:hAnsi="Arial" w:cs="Arial"/>
                <w:i/>
                <w:iCs/>
                <w:color w:val="1F497D"/>
                <w:sz w:val="22"/>
              </w:rPr>
              <w:t xml:space="preserve">You must complete this record fully and accurately. This will help to demonstrate that you have met the duties of competence and standard of care expected of a lawyer. </w:t>
            </w:r>
          </w:p>
          <w:p w14:paraId="58B924FB" w14:textId="77777777" w:rsidR="005C5A44" w:rsidRDefault="005C5A44" w:rsidP="005C5A44">
            <w:pPr>
              <w:pStyle w:val="NormalWeb"/>
              <w:numPr>
                <w:ilvl w:val="0"/>
                <w:numId w:val="42"/>
              </w:numPr>
              <w:shd w:val="clear" w:color="auto" w:fill="FFFFFF"/>
              <w:spacing w:line="240" w:lineRule="auto"/>
              <w:rPr>
                <w:rFonts w:ascii="Arial" w:hAnsi="Arial" w:cs="Arial"/>
                <w:color w:val="1F497D"/>
                <w:sz w:val="22"/>
              </w:rPr>
            </w:pPr>
            <w:r>
              <w:rPr>
                <w:rFonts w:ascii="Arial" w:hAnsi="Arial" w:cs="Arial"/>
                <w:i/>
                <w:iCs/>
                <w:color w:val="1F497D"/>
                <w:sz w:val="22"/>
              </w:rPr>
              <w:t>In most instances this document would be considered a client document and given to the client upon request. It could also be disclosed under the FOI Act.</w:t>
            </w:r>
          </w:p>
        </w:tc>
      </w:tr>
    </w:tbl>
    <w:p w14:paraId="32A74CB1" w14:textId="77777777" w:rsidR="005C5A44" w:rsidRPr="0001261F" w:rsidRDefault="005C5A44" w:rsidP="005C5A44">
      <w:pPr>
        <w:pStyle w:val="TableText"/>
        <w:spacing w:before="0" w:after="0"/>
        <w:rPr>
          <w:sz w:val="2"/>
          <w:szCs w:val="2"/>
          <w:lang w:eastAsia="en-AU"/>
        </w:rPr>
      </w:pPr>
    </w:p>
    <w:p w14:paraId="5735FAF1" w14:textId="77777777" w:rsidR="005C5A44" w:rsidRDefault="005C5A44" w:rsidP="005C5A44">
      <w:pPr>
        <w:spacing w:line="240" w:lineRule="auto"/>
        <w:rPr>
          <w:sz w:val="2"/>
          <w:szCs w:val="2"/>
        </w:rPr>
      </w:pPr>
    </w:p>
    <w:sectPr w:rsidR="005C5A44" w:rsidSect="00035672">
      <w:headerReference w:type="even" r:id="rId7"/>
      <w:headerReference w:type="default" r:id="rId8"/>
      <w:footerReference w:type="even" r:id="rId9"/>
      <w:footerReference w:type="default" r:id="rId10"/>
      <w:headerReference w:type="first" r:id="rId11"/>
      <w:footerReference w:type="first" r:id="rId12"/>
      <w:pgSz w:w="11900" w:h="16840" w:code="9"/>
      <w:pgMar w:top="1418" w:right="907" w:bottom="964" w:left="907" w:header="284"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71C2" w14:textId="77777777" w:rsidR="009414A5" w:rsidRDefault="009414A5"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4E772BC" w14:textId="77777777" w:rsidR="009414A5" w:rsidRDefault="009414A5"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UI Gothic"/>
    <w:panose1 w:val="020B06040202020202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81E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1D3C5C" w14:textId="77777777" w:rsidR="00BB122F" w:rsidRDefault="00BB122F" w:rsidP="008074B3">
    <w:pPr>
      <w:pStyle w:val="Footer"/>
      <w:ind w:right="360" w:firstLine="360"/>
    </w:pPr>
  </w:p>
  <w:p w14:paraId="47A17867"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D624"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042AB2">
      <w:rPr>
        <w:rStyle w:val="PageNumber"/>
        <w:noProof/>
      </w:rPr>
      <w:t>2</w:t>
    </w:r>
    <w:r>
      <w:rPr>
        <w:rStyle w:val="PageNumber"/>
      </w:rPr>
      <w:fldChar w:fldCharType="end"/>
    </w:r>
    <w:r w:rsidR="003152D1">
      <w:rPr>
        <w:noProof/>
        <w:lang w:val="en-AU" w:eastAsia="en-AU"/>
      </w:rPr>
      <mc:AlternateContent>
        <mc:Choice Requires="wps">
          <w:drawing>
            <wp:anchor distT="4294967295" distB="4294967295" distL="114300" distR="114300" simplePos="0" relativeHeight="251658240" behindDoc="0" locked="1" layoutInCell="1" allowOverlap="1" wp14:anchorId="6C28D452" wp14:editId="756646DF">
              <wp:simplePos x="0" y="0"/>
              <wp:positionH relativeFrom="page">
                <wp:posOffset>180340</wp:posOffset>
              </wp:positionH>
              <wp:positionV relativeFrom="page">
                <wp:posOffset>10235564</wp:posOffset>
              </wp:positionV>
              <wp:extent cx="7200265" cy="0"/>
              <wp:effectExtent l="0" t="0" r="19685" b="19050"/>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2FB44235" id="Line 3" o:spid="_x0000_s1026" alt=" "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6386"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042AB2">
      <w:rPr>
        <w:rStyle w:val="PageNumber"/>
        <w:noProof/>
      </w:rPr>
      <w:t>1</w:t>
    </w:r>
    <w:r>
      <w:rPr>
        <w:rStyle w:val="PageNumber"/>
      </w:rPr>
      <w:fldChar w:fldCharType="end"/>
    </w:r>
    <w:r w:rsidR="003152D1">
      <w:rPr>
        <w:noProof/>
        <w:lang w:val="en-AU" w:eastAsia="en-AU"/>
      </w:rPr>
      <mc:AlternateContent>
        <mc:Choice Requires="wps">
          <w:drawing>
            <wp:anchor distT="4294967295" distB="4294967295" distL="114300" distR="114300" simplePos="0" relativeHeight="251662336" behindDoc="0" locked="1" layoutInCell="1" allowOverlap="1" wp14:anchorId="05264E3F" wp14:editId="29948AC6">
              <wp:simplePos x="0" y="0"/>
              <wp:positionH relativeFrom="page">
                <wp:posOffset>180340</wp:posOffset>
              </wp:positionH>
              <wp:positionV relativeFrom="page">
                <wp:posOffset>10235564</wp:posOffset>
              </wp:positionV>
              <wp:extent cx="7200265" cy="0"/>
              <wp:effectExtent l="0" t="0" r="19685" b="1905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ext uri="{AF507438-7753-43e0-B8FC-AC1667EBCBE1}"/>
                      </a:extLst>
                    </wps:spPr>
                    <wps:bodyPr/>
                  </wps:wsp>
                </a:graphicData>
              </a:graphic>
              <wp14:sizeRelH relativeFrom="page">
                <wp14:pctWidth>0</wp14:pctWidth>
              </wp14:sizeRelH>
              <wp14:sizeRelV relativeFrom="page">
                <wp14:pctHeight>0</wp14:pctHeight>
              </wp14:sizeRelV>
            </wp:anchor>
          </w:drawing>
        </mc:Choice>
        <mc:Fallback>
          <w:pict>
            <v:line w14:anchorId="635535D0" id="Line 3" o:spid="_x0000_s1026" alt=" "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14CE" w14:textId="77777777" w:rsidR="009414A5" w:rsidRDefault="009414A5"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221B0B4C" w14:textId="77777777" w:rsidR="009414A5" w:rsidRDefault="009414A5"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0AA7"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85181" w14:textId="77777777" w:rsidR="00BB122F" w:rsidRDefault="00BB122F" w:rsidP="00091AFC">
    <w:pPr>
      <w:pStyle w:val="Header"/>
      <w:ind w:right="360"/>
    </w:pPr>
  </w:p>
  <w:p w14:paraId="176B9B7B"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7389" w14:textId="77777777" w:rsidR="00BB122F" w:rsidRPr="00CD6082" w:rsidRDefault="00BB122F" w:rsidP="00D82005">
    <w:pPr>
      <w:tabs>
        <w:tab w:val="left" w:pos="6893"/>
      </w:tabs>
      <w:spacing w:after="80" w:line="240" w:lineRule="auto"/>
      <w:ind w:left="-330"/>
      <w:rPr>
        <w:rFonts w:cs="Arial"/>
        <w:color w:val="9E4777"/>
        <w:sz w:val="18"/>
        <w:szCs w:val="18"/>
      </w:rPr>
    </w:pPr>
    <w:r w:rsidRPr="00CD6082">
      <w:rPr>
        <w:rFonts w:cs="Arial"/>
        <w:color w:val="9E4777"/>
        <w:sz w:val="18"/>
        <w:szCs w:val="18"/>
      </w:rPr>
      <w:t>Victoria Legal Aid</w:t>
    </w:r>
    <w:r w:rsidRPr="00CD6082">
      <w:rPr>
        <w:rFonts w:cs="Arial"/>
        <w:color w:val="9E4777"/>
        <w:sz w:val="18"/>
        <w:szCs w:val="18"/>
      </w:rPr>
      <w:tab/>
    </w:r>
  </w:p>
  <w:p w14:paraId="1862F583" w14:textId="77777777" w:rsidR="00BB122F" w:rsidRPr="00AB7619" w:rsidRDefault="00AB7619" w:rsidP="00AB7619">
    <w:pPr>
      <w:tabs>
        <w:tab w:val="left" w:pos="6893"/>
      </w:tabs>
      <w:spacing w:after="80" w:line="240" w:lineRule="auto"/>
      <w:ind w:left="-330"/>
      <w:rPr>
        <w:rFonts w:ascii="Arial Bold" w:hAnsi="Arial Bold" w:cs="Arial"/>
        <w:b/>
        <w:color w:val="9E4777"/>
      </w:rPr>
    </w:pPr>
    <w:r w:rsidRPr="00AB7619">
      <w:rPr>
        <w:rFonts w:cs="Arial"/>
        <w:b/>
        <w:color w:val="9E4777"/>
        <w:sz w:val="18"/>
        <w:szCs w:val="18"/>
      </w:rPr>
      <w:t>File checklist – doli incapax</w:t>
    </w:r>
    <w:r w:rsidRPr="00AB7619">
      <w:rPr>
        <w:b/>
        <w:noProof/>
        <w:lang w:val="en-AU" w:eastAsia="en-AU"/>
      </w:rPr>
      <w:t xml:space="preserve"> </w:t>
    </w:r>
    <w:r w:rsidR="003152D1" w:rsidRPr="00AB7619">
      <w:rPr>
        <w:b/>
        <w:noProof/>
        <w:lang w:val="en-AU" w:eastAsia="en-AU"/>
      </w:rPr>
      <mc:AlternateContent>
        <mc:Choice Requires="wps">
          <w:drawing>
            <wp:anchor distT="4294967295" distB="4294967295" distL="114300" distR="114300" simplePos="0" relativeHeight="251657216" behindDoc="1" locked="1" layoutInCell="1" allowOverlap="1" wp14:anchorId="1DB6F112" wp14:editId="0E4AF1BF">
              <wp:simplePos x="0" y="0"/>
              <wp:positionH relativeFrom="page">
                <wp:posOffset>180340</wp:posOffset>
              </wp:positionH>
              <wp:positionV relativeFrom="page">
                <wp:posOffset>684529</wp:posOffset>
              </wp:positionV>
              <wp:extent cx="7200265" cy="0"/>
              <wp:effectExtent l="0" t="0" r="19685" b="1905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0BB60266" id="Straight Connector 3" o:spid="_x0000_s1026" alt=" "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" strokecolor="#9e4777"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BC6B" w14:textId="77777777" w:rsidR="00BB122F" w:rsidRPr="00461B5A" w:rsidRDefault="003152D1" w:rsidP="00833658">
    <w:pPr>
      <w:pStyle w:val="VLAProgram"/>
      <w:pBdr>
        <w:bottom w:val="none" w:sz="0" w:space="0" w:color="auto"/>
      </w:pBdr>
    </w:pPr>
    <w:r>
      <w:rPr>
        <w:noProof/>
        <w:lang w:eastAsia="en-AU"/>
      </w:rPr>
      <w:drawing>
        <wp:anchor distT="0" distB="0" distL="114300" distR="114300" simplePos="0" relativeHeight="251664384" behindDoc="1" locked="0" layoutInCell="1" allowOverlap="1" wp14:anchorId="6FB9C73B" wp14:editId="451D03C4">
          <wp:simplePos x="0" y="0"/>
          <wp:positionH relativeFrom="column">
            <wp:posOffset>-391795</wp:posOffset>
          </wp:positionH>
          <wp:positionV relativeFrom="paragraph">
            <wp:posOffset>15875</wp:posOffset>
          </wp:positionV>
          <wp:extent cx="7200265" cy="1258570"/>
          <wp:effectExtent l="0" t="0" r="635" b="0"/>
          <wp:wrapNone/>
          <wp:docPr id="2" name="Picture 1" descr="VLA logo and banner including document title and publication date" title="V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5672">
      <w:t>Family, Youth and Children’s Law Services</w:t>
    </w:r>
  </w:p>
  <w:p w14:paraId="5ECB0C9E" w14:textId="77777777" w:rsidR="00BB122F" w:rsidRPr="00D82005" w:rsidRDefault="005C5A44" w:rsidP="00035672">
    <w:pPr>
      <w:pStyle w:val="VLAPublicationdate"/>
      <w:spacing w:before="240" w:after="1200"/>
    </w:pPr>
    <w:r>
      <w:t xml:space="preserve">File checklist – </w:t>
    </w:r>
    <w:r w:rsidRPr="005C5A44">
      <w:rPr>
        <w:i/>
      </w:rPr>
      <w:t>doli incapax</w:t>
    </w:r>
    <w:r w:rsidR="00035672">
      <w:br/>
    </w:r>
    <w:r w:rsidR="00461B5A">
      <w:t>February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1AD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0C658CF"/>
    <w:multiLevelType w:val="hybridMultilevel"/>
    <w:tmpl w:val="7EEA357C"/>
    <w:lvl w:ilvl="0" w:tplc="0C090001">
      <w:start w:val="1"/>
      <w:numFmt w:val="bullet"/>
      <w:lvlText w:val=""/>
      <w:lvlJc w:val="left"/>
      <w:pPr>
        <w:ind w:left="845" w:hanging="360"/>
      </w:pPr>
      <w:rPr>
        <w:rFonts w:ascii="Symbol" w:hAnsi="Symbol" w:hint="default"/>
      </w:rPr>
    </w:lvl>
    <w:lvl w:ilvl="1" w:tplc="0C090003">
      <w:start w:val="1"/>
      <w:numFmt w:val="bullet"/>
      <w:lvlText w:val="o"/>
      <w:lvlJc w:val="left"/>
      <w:pPr>
        <w:ind w:left="1565" w:hanging="360"/>
      </w:pPr>
      <w:rPr>
        <w:rFonts w:ascii="Courier New" w:hAnsi="Courier New" w:cs="Courier New" w:hint="default"/>
      </w:rPr>
    </w:lvl>
    <w:lvl w:ilvl="2" w:tplc="0C090005">
      <w:start w:val="1"/>
      <w:numFmt w:val="bullet"/>
      <w:lvlText w:val=""/>
      <w:lvlJc w:val="left"/>
      <w:pPr>
        <w:ind w:left="2285" w:hanging="360"/>
      </w:pPr>
      <w:rPr>
        <w:rFonts w:ascii="Wingdings" w:hAnsi="Wingdings" w:hint="default"/>
      </w:rPr>
    </w:lvl>
    <w:lvl w:ilvl="3" w:tplc="0C090001">
      <w:start w:val="1"/>
      <w:numFmt w:val="bullet"/>
      <w:lvlText w:val=""/>
      <w:lvlJc w:val="left"/>
      <w:pPr>
        <w:ind w:left="3005" w:hanging="360"/>
      </w:pPr>
      <w:rPr>
        <w:rFonts w:ascii="Symbol" w:hAnsi="Symbol" w:hint="default"/>
      </w:rPr>
    </w:lvl>
    <w:lvl w:ilvl="4" w:tplc="0C090003">
      <w:start w:val="1"/>
      <w:numFmt w:val="bullet"/>
      <w:lvlText w:val="o"/>
      <w:lvlJc w:val="left"/>
      <w:pPr>
        <w:ind w:left="3725" w:hanging="360"/>
      </w:pPr>
      <w:rPr>
        <w:rFonts w:ascii="Courier New" w:hAnsi="Courier New" w:cs="Courier New" w:hint="default"/>
      </w:rPr>
    </w:lvl>
    <w:lvl w:ilvl="5" w:tplc="0C090005">
      <w:start w:val="1"/>
      <w:numFmt w:val="bullet"/>
      <w:lvlText w:val=""/>
      <w:lvlJc w:val="left"/>
      <w:pPr>
        <w:ind w:left="4445" w:hanging="360"/>
      </w:pPr>
      <w:rPr>
        <w:rFonts w:ascii="Wingdings" w:hAnsi="Wingdings" w:hint="default"/>
      </w:rPr>
    </w:lvl>
    <w:lvl w:ilvl="6" w:tplc="0C090001">
      <w:start w:val="1"/>
      <w:numFmt w:val="bullet"/>
      <w:lvlText w:val=""/>
      <w:lvlJc w:val="left"/>
      <w:pPr>
        <w:ind w:left="5165" w:hanging="360"/>
      </w:pPr>
      <w:rPr>
        <w:rFonts w:ascii="Symbol" w:hAnsi="Symbol" w:hint="default"/>
      </w:rPr>
    </w:lvl>
    <w:lvl w:ilvl="7" w:tplc="0C090003">
      <w:start w:val="1"/>
      <w:numFmt w:val="bullet"/>
      <w:lvlText w:val="o"/>
      <w:lvlJc w:val="left"/>
      <w:pPr>
        <w:ind w:left="5885" w:hanging="360"/>
      </w:pPr>
      <w:rPr>
        <w:rFonts w:ascii="Courier New" w:hAnsi="Courier New" w:cs="Courier New" w:hint="default"/>
      </w:rPr>
    </w:lvl>
    <w:lvl w:ilvl="8" w:tplc="0C090005">
      <w:start w:val="1"/>
      <w:numFmt w:val="bullet"/>
      <w:lvlText w:val=""/>
      <w:lvlJc w:val="left"/>
      <w:pPr>
        <w:ind w:left="6605" w:hanging="360"/>
      </w:pPr>
      <w:rPr>
        <w:rFonts w:ascii="Wingdings" w:hAnsi="Wingdings" w:hint="default"/>
      </w:rPr>
    </w:lvl>
  </w:abstractNum>
  <w:abstractNum w:abstractNumId="8" w15:restartNumberingAfterBreak="0">
    <w:nsid w:val="03032CDE"/>
    <w:multiLevelType w:val="hybridMultilevel"/>
    <w:tmpl w:val="DAEC0C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E1D04"/>
    <w:multiLevelType w:val="hybridMultilevel"/>
    <w:tmpl w:val="B748B2C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A35CC7"/>
    <w:multiLevelType w:val="hybridMultilevel"/>
    <w:tmpl w:val="309E9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71650C"/>
    <w:multiLevelType w:val="hybridMultilevel"/>
    <w:tmpl w:val="76143A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7"/>
  </w:num>
  <w:num w:numId="4">
    <w:abstractNumId w:val="16"/>
  </w:num>
  <w:num w:numId="5">
    <w:abstractNumId w:val="17"/>
  </w:num>
  <w:num w:numId="6">
    <w:abstractNumId w:val="17"/>
  </w:num>
  <w:num w:numId="7">
    <w:abstractNumId w:val="18"/>
  </w:num>
  <w:num w:numId="8">
    <w:abstractNumId w:val="17"/>
  </w:num>
  <w:num w:numId="9">
    <w:abstractNumId w:val="15"/>
  </w:num>
  <w:num w:numId="10">
    <w:abstractNumId w:val="11"/>
  </w:num>
  <w:num w:numId="11">
    <w:abstractNumId w:val="15"/>
  </w:num>
  <w:num w:numId="12">
    <w:abstractNumId w:val="10"/>
  </w:num>
  <w:num w:numId="13">
    <w:abstractNumId w:val="10"/>
  </w:num>
  <w:num w:numId="14">
    <w:abstractNumId w:val="10"/>
  </w:num>
  <w:num w:numId="15">
    <w:abstractNumId w:val="10"/>
  </w:num>
  <w:num w:numId="16">
    <w:abstractNumId w:val="11"/>
  </w:num>
  <w:num w:numId="17">
    <w:abstractNumId w:val="17"/>
  </w:num>
  <w:num w:numId="18">
    <w:abstractNumId w:val="17"/>
  </w:num>
  <w:num w:numId="19">
    <w:abstractNumId w:val="16"/>
  </w:num>
  <w:num w:numId="20">
    <w:abstractNumId w:val="16"/>
  </w:num>
  <w:num w:numId="21">
    <w:abstractNumId w:val="16"/>
  </w:num>
  <w:num w:numId="22">
    <w:abstractNumId w:val="15"/>
  </w:num>
  <w:num w:numId="23">
    <w:abstractNumId w:val="11"/>
  </w:num>
  <w:num w:numId="24">
    <w:abstractNumId w:val="17"/>
  </w:num>
  <w:num w:numId="25">
    <w:abstractNumId w:val="17"/>
  </w:num>
  <w:num w:numId="26">
    <w:abstractNumId w:val="16"/>
  </w:num>
  <w:num w:numId="27">
    <w:abstractNumId w:val="16"/>
  </w:num>
  <w:num w:numId="28">
    <w:abstractNumId w:val="16"/>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4"/>
  </w:num>
  <w:num w:numId="40">
    <w:abstractNumId w:val="9"/>
  </w:num>
  <w:num w:numId="41">
    <w:abstractNumId w:val="13"/>
  </w:num>
  <w:num w:numId="4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461B5A"/>
    <w:rsid w:val="000078CE"/>
    <w:rsid w:val="00035672"/>
    <w:rsid w:val="000360EC"/>
    <w:rsid w:val="00040F0B"/>
    <w:rsid w:val="00042AB2"/>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2D1"/>
    <w:rsid w:val="00315C03"/>
    <w:rsid w:val="003224F8"/>
    <w:rsid w:val="003315F4"/>
    <w:rsid w:val="00360994"/>
    <w:rsid w:val="003655D7"/>
    <w:rsid w:val="0037081E"/>
    <w:rsid w:val="003C7868"/>
    <w:rsid w:val="00402557"/>
    <w:rsid w:val="004158B6"/>
    <w:rsid w:val="00427C16"/>
    <w:rsid w:val="004421BD"/>
    <w:rsid w:val="00443649"/>
    <w:rsid w:val="00461B5A"/>
    <w:rsid w:val="004707EF"/>
    <w:rsid w:val="004C75B1"/>
    <w:rsid w:val="004D7100"/>
    <w:rsid w:val="00504F13"/>
    <w:rsid w:val="005317C2"/>
    <w:rsid w:val="00546C0D"/>
    <w:rsid w:val="005B1640"/>
    <w:rsid w:val="005B3D02"/>
    <w:rsid w:val="005C1DFD"/>
    <w:rsid w:val="005C5A44"/>
    <w:rsid w:val="005D19C7"/>
    <w:rsid w:val="005D4A19"/>
    <w:rsid w:val="005D5C9C"/>
    <w:rsid w:val="005F4938"/>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B236B"/>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414A5"/>
    <w:rsid w:val="0099270D"/>
    <w:rsid w:val="009A74F1"/>
    <w:rsid w:val="009B0D09"/>
    <w:rsid w:val="009B59BF"/>
    <w:rsid w:val="009D539D"/>
    <w:rsid w:val="009E1AC3"/>
    <w:rsid w:val="009F0AA0"/>
    <w:rsid w:val="00A11120"/>
    <w:rsid w:val="00A4395A"/>
    <w:rsid w:val="00A52F29"/>
    <w:rsid w:val="00A93509"/>
    <w:rsid w:val="00AB5376"/>
    <w:rsid w:val="00AB7619"/>
    <w:rsid w:val="00AC3D95"/>
    <w:rsid w:val="00B044A6"/>
    <w:rsid w:val="00B85795"/>
    <w:rsid w:val="00BB122F"/>
    <w:rsid w:val="00BD3873"/>
    <w:rsid w:val="00BE36EB"/>
    <w:rsid w:val="00C16B80"/>
    <w:rsid w:val="00C33AEF"/>
    <w:rsid w:val="00C415B1"/>
    <w:rsid w:val="00C61CB5"/>
    <w:rsid w:val="00C64A61"/>
    <w:rsid w:val="00C81372"/>
    <w:rsid w:val="00C84D28"/>
    <w:rsid w:val="00CB48F9"/>
    <w:rsid w:val="00CC0626"/>
    <w:rsid w:val="00CC216F"/>
    <w:rsid w:val="00CC6F2C"/>
    <w:rsid w:val="00CD6082"/>
    <w:rsid w:val="00CF2D05"/>
    <w:rsid w:val="00D30B8E"/>
    <w:rsid w:val="00D75C29"/>
    <w:rsid w:val="00D82005"/>
    <w:rsid w:val="00DB07C5"/>
    <w:rsid w:val="00DC01DC"/>
    <w:rsid w:val="00DD5EE1"/>
    <w:rsid w:val="00DE037E"/>
    <w:rsid w:val="00DE3C33"/>
    <w:rsid w:val="00E865F8"/>
    <w:rsid w:val="00E92D5D"/>
    <w:rsid w:val="00E93990"/>
    <w:rsid w:val="00EE18F3"/>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EDEF4"/>
  <w15:docId w15:val="{A275B955-08B7-42DB-818A-9DD5D3BC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B5A"/>
    <w:pPr>
      <w:spacing w:after="200" w:line="276" w:lineRule="auto"/>
    </w:pPr>
    <w:rPr>
      <w:rFonts w:ascii="Calibri" w:eastAsia="Calibri" w:hAnsi="Calibri"/>
      <w:sz w:val="22"/>
      <w:szCs w:val="22"/>
      <w:lang w:val="en-US" w:eastAsia="en-US"/>
    </w:rPr>
  </w:style>
  <w:style w:type="paragraph" w:styleId="Heading1">
    <w:name w:val="heading 1"/>
    <w:next w:val="Normal"/>
    <w:qFormat/>
    <w:rsid w:val="00EE18F3"/>
    <w:pPr>
      <w:keepNext/>
      <w:spacing w:before="240" w:after="120" w:line="300" w:lineRule="atLeast"/>
      <w:outlineLvl w:val="0"/>
    </w:pPr>
    <w:rPr>
      <w:rFonts w:ascii="Arial" w:eastAsia="Times New Roman" w:hAnsi="Arial" w:cs="Arial"/>
      <w:b/>
      <w:bCs/>
      <w:color w:val="9E4777"/>
      <w:kern w:val="32"/>
      <w:sz w:val="32"/>
      <w:szCs w:val="32"/>
    </w:rPr>
  </w:style>
  <w:style w:type="paragraph" w:styleId="Heading2">
    <w:name w:val="heading 2"/>
    <w:next w:val="Normal"/>
    <w:qFormat/>
    <w:rsid w:val="00E93990"/>
    <w:pPr>
      <w:keepNext/>
      <w:spacing w:before="240" w:after="120" w:line="300" w:lineRule="atLeast"/>
      <w:outlineLvl w:val="1"/>
    </w:pPr>
    <w:rPr>
      <w:rFonts w:ascii="Arial" w:eastAsia="Times New Roman" w:hAnsi="Arial" w:cs="Arial"/>
      <w:b/>
      <w:bCs/>
      <w:iCs/>
      <w:color w:val="9E4777"/>
      <w:sz w:val="28"/>
      <w:szCs w:val="28"/>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link w:val="HeaderChar"/>
    <w:uiPriority w:val="99"/>
    <w:rsid w:val="00E93990"/>
    <w:pPr>
      <w:pBdr>
        <w:bottom w:val="single" w:sz="4" w:space="1" w:color="9E4777"/>
      </w:pBdr>
      <w:tabs>
        <w:tab w:val="center" w:pos="4604"/>
        <w:tab w:val="right" w:pos="9214"/>
      </w:tabs>
      <w:spacing w:line="240" w:lineRule="atLeast"/>
    </w:pPr>
    <w:rPr>
      <w:rFonts w:ascii="Arial" w:eastAsia="Times New Roman" w:hAnsi="Arial"/>
      <w:sz w:val="22"/>
      <w:szCs w:val="24"/>
      <w:lang w:eastAsia="en-US"/>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DB07C5"/>
    <w:pPr>
      <w:numPr>
        <w:numId w:val="23"/>
      </w:numPr>
      <w:spacing w:after="120" w:line="300" w:lineRule="atLeast"/>
    </w:pPr>
    <w:rPr>
      <w:rFonts w:ascii="Arial" w:eastAsia="Times New Roman" w:hAnsi="Arial"/>
      <w:sz w:val="22"/>
      <w:szCs w:val="24"/>
      <w:lang w:eastAsia="en-US"/>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lang w:eastAsia="en-US"/>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lang w:eastAsia="en-US"/>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EE18F3"/>
    <w:pPr>
      <w:spacing w:before="240" w:after="240" w:line="300" w:lineRule="atLeast"/>
    </w:pPr>
    <w:rPr>
      <w:rFonts w:ascii="Arial" w:eastAsia="Times New Roman" w:hAnsi="Arial" w:cs="Arial"/>
      <w:b/>
      <w:bCs/>
      <w:color w:val="9E4777"/>
      <w:kern w:val="32"/>
      <w:sz w:val="28"/>
      <w:szCs w:val="26"/>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lang w:eastAsia="en-US"/>
    </w:rPr>
  </w:style>
  <w:style w:type="paragraph" w:customStyle="1" w:styleId="VLApicture">
    <w:name w:val="VLA picture"/>
    <w:next w:val="Normal"/>
    <w:rsid w:val="00DB07C5"/>
    <w:pPr>
      <w:spacing w:after="120" w:line="300" w:lineRule="atLeast"/>
    </w:pPr>
    <w:rPr>
      <w:rFonts w:ascii="Arial" w:eastAsia="Times New Roman" w:hAnsi="Arial"/>
      <w:sz w:val="22"/>
      <w:szCs w:val="24"/>
      <w:lang w:eastAsia="en-US"/>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lang w:eastAsia="en-US"/>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lang w:eastAsia="en-US"/>
    </w:rPr>
  </w:style>
  <w:style w:type="paragraph" w:customStyle="1" w:styleId="Confidentialityclause">
    <w:name w:val="Confidentiality clause"/>
    <w:rsid w:val="00DB07C5"/>
    <w:pPr>
      <w:spacing w:after="120"/>
    </w:pPr>
    <w:rPr>
      <w:rFonts w:ascii="Arial" w:eastAsia="Times New Roman" w:hAnsi="Arial"/>
      <w:bCs/>
      <w:kern w:val="28"/>
      <w:sz w:val="18"/>
      <w:lang w:eastAsia="en-US"/>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style>
  <w:style w:type="paragraph" w:customStyle="1" w:styleId="VLADocumentText">
    <w:name w:val="VLA Document Text"/>
    <w:qFormat/>
    <w:rsid w:val="000759A6"/>
    <w:pPr>
      <w:spacing w:after="120" w:line="300" w:lineRule="atLeast"/>
    </w:pPr>
    <w:rPr>
      <w:rFonts w:ascii="Arial" w:eastAsia="Times New Roman" w:hAnsi="Arial"/>
      <w:sz w:val="22"/>
      <w:szCs w:val="24"/>
      <w:lang w:eastAsia="en-US"/>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VLALetterText">
    <w:name w:val="VLA Letter Text"/>
    <w:rsid w:val="000759A6"/>
    <w:pPr>
      <w:spacing w:after="120" w:line="300" w:lineRule="atLeast"/>
    </w:pPr>
    <w:rPr>
      <w:rFonts w:ascii="Arial" w:eastAsia="Times New Roman" w:hAnsi="Arial"/>
      <w:sz w:val="22"/>
      <w:szCs w:val="24"/>
      <w:lang w:eastAsia="en-US"/>
    </w:rPr>
  </w:style>
  <w:style w:type="paragraph" w:customStyle="1" w:styleId="VLAProgram">
    <w:name w:val="VLA Program"/>
    <w:basedOn w:val="Header"/>
    <w:next w:val="Normal"/>
    <w:rsid w:val="00E93990"/>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EE18F3"/>
    <w:pPr>
      <w:spacing w:before="160" w:after="40" w:line="300" w:lineRule="atLeast"/>
    </w:pPr>
    <w:rPr>
      <w:rFonts w:ascii="Arial" w:eastAsia="Times New Roman" w:hAnsi="Arial" w:cs="Arial"/>
      <w:b/>
      <w:bCs/>
      <w:iCs/>
      <w:color w:val="9E4777"/>
      <w:sz w:val="26"/>
      <w:szCs w:val="28"/>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EE18F3"/>
    <w:pPr>
      <w:numPr>
        <w:numId w:val="22"/>
      </w:numPr>
      <w:spacing w:before="240" w:after="240" w:line="280" w:lineRule="exact"/>
    </w:pPr>
    <w:rPr>
      <w:rFonts w:ascii="Arial" w:eastAsia="Times New Roman" w:hAnsi="Arial" w:cs="Arial"/>
      <w:b/>
      <w:bCs/>
      <w:color w:val="9E4777"/>
      <w:kern w:val="32"/>
      <w:sz w:val="28"/>
      <w:szCs w:val="32"/>
    </w:rPr>
  </w:style>
  <w:style w:type="paragraph" w:customStyle="1" w:styleId="VLAdivision">
    <w:name w:val="VLA division"/>
    <w:basedOn w:val="Normal"/>
    <w:next w:val="VLAauthor"/>
    <w:rsid w:val="00E93990"/>
    <w:pPr>
      <w:spacing w:before="60" w:after="240"/>
    </w:pPr>
    <w:rPr>
      <w:b/>
      <w:color w:val="9E4777"/>
      <w:sz w:val="28"/>
      <w:szCs w:val="28"/>
      <w:lang w:eastAsia="en-AU"/>
    </w:rPr>
  </w:style>
  <w:style w:type="paragraph" w:customStyle="1" w:styleId="VLAauthor">
    <w:name w:val="VLA author"/>
    <w:basedOn w:val="Normal"/>
    <w:next w:val="VLAdivision"/>
    <w:rsid w:val="00E93990"/>
    <w:pPr>
      <w:spacing w:before="240" w:after="60"/>
    </w:pPr>
    <w:rPr>
      <w:b/>
      <w:color w:val="9E4777"/>
      <w:sz w:val="28"/>
      <w:szCs w:val="28"/>
      <w:lang w:eastAsia="en-AU"/>
    </w:rPr>
  </w:style>
  <w:style w:type="paragraph" w:customStyle="1" w:styleId="Contents">
    <w:name w:val="Contents"/>
    <w:basedOn w:val="VLAdivision"/>
    <w:next w:val="Normal"/>
    <w:rsid w:val="00EE18F3"/>
  </w:style>
  <w:style w:type="paragraph" w:customStyle="1" w:styleId="Filename">
    <w:name w:val="Filename"/>
    <w:basedOn w:val="Normal"/>
    <w:rsid w:val="00E93990"/>
    <w:pPr>
      <w:pBdr>
        <w:top w:val="single" w:sz="4" w:space="1" w:color="9E4777"/>
      </w:pBdr>
      <w:tabs>
        <w:tab w:val="right" w:pos="9240"/>
      </w:tabs>
    </w:pPr>
    <w:rPr>
      <w:sz w:val="18"/>
    </w:rPr>
  </w:style>
  <w:style w:type="paragraph" w:styleId="Title">
    <w:name w:val="Title"/>
    <w:link w:val="TitleChar"/>
    <w:qFormat/>
    <w:locked/>
    <w:rsid w:val="00E93990"/>
    <w:pPr>
      <w:spacing w:before="2000" w:after="240" w:line="400" w:lineRule="exact"/>
      <w:outlineLvl w:val="0"/>
    </w:pPr>
    <w:rPr>
      <w:rFonts w:ascii="Arial Bold" w:eastAsia="Times New Roman" w:hAnsi="Arial Bold" w:cs="Arial"/>
      <w:b/>
      <w:bCs/>
      <w:color w:val="9E4777"/>
      <w:kern w:val="28"/>
      <w:sz w:val="36"/>
      <w:szCs w:val="32"/>
      <w:lang w:eastAsia="en-US"/>
    </w:rPr>
  </w:style>
  <w:style w:type="character" w:customStyle="1" w:styleId="TitleChar">
    <w:name w:val="Title Char"/>
    <w:link w:val="Title"/>
    <w:rsid w:val="00E93990"/>
    <w:rPr>
      <w:rFonts w:ascii="Arial Bold" w:eastAsia="Times New Roman" w:hAnsi="Arial Bold" w:cs="Arial"/>
      <w:b/>
      <w:bCs/>
      <w:color w:val="9E4777"/>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uiPriority w:val="99"/>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HeaderChar">
    <w:name w:val="Header Char"/>
    <w:basedOn w:val="DefaultParagraphFont"/>
    <w:link w:val="Header"/>
    <w:uiPriority w:val="99"/>
    <w:rsid w:val="005C5A44"/>
    <w:rPr>
      <w:rFonts w:ascii="Arial" w:eastAsia="Times New Roman" w:hAnsi="Arial"/>
      <w:sz w:val="22"/>
      <w:szCs w:val="24"/>
      <w:lang w:eastAsia="en-US"/>
    </w:rPr>
  </w:style>
  <w:style w:type="paragraph" w:styleId="NormalWeb">
    <w:name w:val="Normal (Web)"/>
    <w:basedOn w:val="Normal"/>
    <w:uiPriority w:val="99"/>
    <w:semiHidden/>
    <w:rsid w:val="005C5A44"/>
    <w:pPr>
      <w:spacing w:after="0" w:line="300" w:lineRule="atLeast"/>
    </w:pPr>
    <w:rPr>
      <w:rFonts w:ascii="Times New Roman" w:eastAsiaTheme="minorHAnsi" w:hAnsi="Times New Roman" w:cstheme="minorBidi"/>
      <w:sz w:val="24"/>
      <w:lang w:val="en-AU"/>
    </w:rPr>
  </w:style>
  <w:style w:type="paragraph" w:customStyle="1" w:styleId="TableText">
    <w:name w:val="Table Text"/>
    <w:rsid w:val="005C5A44"/>
    <w:pPr>
      <w:spacing w:before="60" w:after="60" w:line="240" w:lineRule="atLeast"/>
    </w:pPr>
    <w:rPr>
      <w:rFonts w:ascii="Arial" w:eastAsiaTheme="minorHAnsi"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2306</Characters>
  <Application>Microsoft Office Word</Application>
  <DocSecurity>0</DocSecurity>
  <Lines>100</Lines>
  <Paragraphs>45</Paragraphs>
  <ScaleCrop>false</ScaleCrop>
  <HeadingPairs>
    <vt:vector size="2" baseType="variant">
      <vt:variant>
        <vt:lpstr>Title</vt:lpstr>
      </vt:variant>
      <vt:variant>
        <vt:i4>1</vt:i4>
      </vt:variant>
    </vt:vector>
  </HeadingPairs>
  <TitlesOfParts>
    <vt:vector size="1" baseType="lpstr">
      <vt:lpstr>Factsheet_Generic</vt:lpstr>
    </vt:vector>
  </TitlesOfParts>
  <Manager/>
  <Company>Victoria Legal Aid</Company>
  <LinksUpToDate>false</LinksUpToDate>
  <CharactersWithSpaces>2661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checklist – doli incapax  </dc:title>
  <dc:subject/>
  <dc:creator>Victoria Legal Aid</dc:creator>
  <cp:keywords/>
  <dc:description/>
  <cp:lastModifiedBy>Gabrielle Mundana</cp:lastModifiedBy>
  <cp:revision>2</cp:revision>
  <dcterms:created xsi:type="dcterms:W3CDTF">2022-03-15T03:49:00Z</dcterms:created>
  <dcterms:modified xsi:type="dcterms:W3CDTF">2022-03-15T03:49:00Z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