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A536" w14:textId="2764ABF1" w:rsidR="00AA3425" w:rsidRDefault="008A7471" w:rsidP="00AA3425">
      <w:pPr>
        <w:pStyle w:val="Heading1"/>
        <w:rPr>
          <w:sz w:val="24"/>
          <w:szCs w:val="24"/>
        </w:rPr>
      </w:pPr>
      <w:r>
        <w:t>Victoria Legal Aid 202</w:t>
      </w:r>
      <w:r w:rsidR="00B22546">
        <w:t>3</w:t>
      </w:r>
      <w:r>
        <w:t>–2</w:t>
      </w:r>
      <w:r w:rsidR="00B22546">
        <w:t>4</w:t>
      </w:r>
      <w:r>
        <w:t xml:space="preserve"> </w:t>
      </w:r>
      <w:r w:rsidR="00F23E1B">
        <w:t>quarter f</w:t>
      </w:r>
      <w:r w:rsidR="00AA3425">
        <w:t>our</w:t>
      </w:r>
      <w:r>
        <w:t xml:space="preserve"> </w:t>
      </w:r>
      <w:r w:rsidR="00F23E1B">
        <w:t>r</w:t>
      </w:r>
      <w:r>
        <w:t xml:space="preserve">eport </w:t>
      </w:r>
      <w:r>
        <w:br/>
      </w:r>
      <w:r w:rsidR="00AA3425">
        <w:rPr>
          <w:sz w:val="24"/>
          <w:szCs w:val="24"/>
        </w:rPr>
        <w:t>April</w:t>
      </w:r>
      <w:r w:rsidR="00A46A91">
        <w:rPr>
          <w:sz w:val="24"/>
          <w:szCs w:val="24"/>
        </w:rPr>
        <w:t xml:space="preserve"> </w:t>
      </w:r>
      <w:r w:rsidRPr="6B8ABD5E">
        <w:rPr>
          <w:sz w:val="24"/>
          <w:szCs w:val="24"/>
        </w:rPr>
        <w:t xml:space="preserve">– </w:t>
      </w:r>
      <w:r w:rsidR="00AA3425">
        <w:rPr>
          <w:sz w:val="24"/>
          <w:szCs w:val="24"/>
        </w:rPr>
        <w:t>June</w:t>
      </w:r>
      <w:r>
        <w:rPr>
          <w:sz w:val="24"/>
          <w:szCs w:val="24"/>
        </w:rPr>
        <w:t xml:space="preserve"> </w:t>
      </w:r>
      <w:r w:rsidRPr="6B8ABD5E">
        <w:rPr>
          <w:sz w:val="24"/>
          <w:szCs w:val="24"/>
        </w:rPr>
        <w:t>20</w:t>
      </w:r>
      <w:r>
        <w:rPr>
          <w:sz w:val="24"/>
          <w:szCs w:val="24"/>
        </w:rPr>
        <w:t>2</w:t>
      </w:r>
      <w:r w:rsidR="00AA3425">
        <w:rPr>
          <w:sz w:val="24"/>
          <w:szCs w:val="24"/>
        </w:rPr>
        <w:t>4</w:t>
      </w:r>
    </w:p>
    <w:p w14:paraId="31F35BC2" w14:textId="25D186A8" w:rsidR="00B16383" w:rsidRPr="00B16383" w:rsidRDefault="008A7471" w:rsidP="006663C9">
      <w:pPr>
        <w:pStyle w:val="Heading2"/>
      </w:pPr>
      <w:r>
        <w:t xml:space="preserve">Message from the </w:t>
      </w:r>
      <w:r w:rsidRPr="001F0CF5">
        <w:t>CEO</w:t>
      </w:r>
      <w:bookmarkStart w:id="0" w:name="_Hlk164855447"/>
    </w:p>
    <w:bookmarkEnd w:id="0"/>
    <w:p w14:paraId="503F8105" w14:textId="0A3D716C" w:rsidR="004951AE" w:rsidRDefault="004951AE" w:rsidP="004951AE">
      <w:pPr>
        <w:rPr>
          <w:lang w:eastAsia="en-AU"/>
        </w:rPr>
      </w:pPr>
      <w:r>
        <w:rPr>
          <w:lang w:eastAsia="en-AU"/>
        </w:rPr>
        <w:t xml:space="preserve">This year’s National Reconciliation Week theme, </w:t>
      </w:r>
      <w:r w:rsidRPr="00B067B4">
        <w:rPr>
          <w:i/>
          <w:iCs/>
          <w:lang w:eastAsia="en-AU"/>
        </w:rPr>
        <w:t>Now More than Ever</w:t>
      </w:r>
      <w:r>
        <w:rPr>
          <w:lang w:eastAsia="en-AU"/>
        </w:rPr>
        <w:t xml:space="preserve">, was a reminder </w:t>
      </w:r>
      <w:r w:rsidR="00FB27F3">
        <w:rPr>
          <w:lang w:eastAsia="en-AU"/>
        </w:rPr>
        <w:t>of how important our efforts are to improve the outcomes for First Nations clients</w:t>
      </w:r>
      <w:r>
        <w:rPr>
          <w:lang w:eastAsia="en-AU"/>
        </w:rPr>
        <w:t xml:space="preserve">. </w:t>
      </w:r>
      <w:r w:rsidR="002B5281">
        <w:rPr>
          <w:lang w:eastAsia="en-AU"/>
        </w:rPr>
        <w:t xml:space="preserve">We were fortunate to hear from </w:t>
      </w:r>
      <w:r w:rsidR="008B5555" w:rsidRPr="00B90742">
        <w:rPr>
          <w:lang w:eastAsia="en-AU"/>
        </w:rPr>
        <w:t>Andrew Jackomos PSM</w:t>
      </w:r>
      <w:r w:rsidR="008B5555">
        <w:rPr>
          <w:lang w:eastAsia="en-AU"/>
        </w:rPr>
        <w:t xml:space="preserve">, proud </w:t>
      </w:r>
      <w:r w:rsidR="008B5555" w:rsidRPr="00B90742">
        <w:rPr>
          <w:lang w:eastAsia="en-AU"/>
        </w:rPr>
        <w:t>Yorta Yorta and Gunditjmara</w:t>
      </w:r>
      <w:r w:rsidR="008B5555">
        <w:rPr>
          <w:rFonts w:ascii="Helvetica" w:hAnsi="Helvetica" w:cs="Helvetica"/>
          <w:color w:val="606060"/>
          <w:sz w:val="23"/>
          <w:szCs w:val="23"/>
          <w:shd w:val="clear" w:color="auto" w:fill="FFFFFF"/>
        </w:rPr>
        <w:t xml:space="preserve"> </w:t>
      </w:r>
      <w:r w:rsidR="008B5555" w:rsidRPr="00B90742">
        <w:rPr>
          <w:lang w:eastAsia="en-AU"/>
        </w:rPr>
        <w:t>man</w:t>
      </w:r>
      <w:r w:rsidR="00692BD8">
        <w:rPr>
          <w:lang w:eastAsia="en-AU"/>
        </w:rPr>
        <w:t xml:space="preserve"> and</w:t>
      </w:r>
      <w:r w:rsidR="008B5555">
        <w:rPr>
          <w:lang w:eastAsia="en-AU"/>
        </w:rPr>
        <w:t xml:space="preserve"> </w:t>
      </w:r>
      <w:r w:rsidR="008B5555" w:rsidRPr="00B90742">
        <w:rPr>
          <w:lang w:eastAsia="en-AU"/>
        </w:rPr>
        <w:t>inaugural member</w:t>
      </w:r>
      <w:r w:rsidR="008B5555">
        <w:rPr>
          <w:lang w:eastAsia="en-AU"/>
        </w:rPr>
        <w:t xml:space="preserve"> </w:t>
      </w:r>
      <w:r w:rsidR="008B5555" w:rsidRPr="00B90742">
        <w:rPr>
          <w:lang w:eastAsia="en-AU"/>
        </w:rPr>
        <w:t>of Victoria's Treaty Authority</w:t>
      </w:r>
      <w:r w:rsidR="008B5555">
        <w:rPr>
          <w:lang w:eastAsia="en-AU"/>
        </w:rPr>
        <w:t xml:space="preserve">, on the path to </w:t>
      </w:r>
      <w:r w:rsidR="00D939A9">
        <w:rPr>
          <w:lang w:eastAsia="en-AU"/>
        </w:rPr>
        <w:t>t</w:t>
      </w:r>
      <w:r w:rsidR="008B5555">
        <w:rPr>
          <w:lang w:eastAsia="en-AU"/>
        </w:rPr>
        <w:t xml:space="preserve">reaty and the work of the </w:t>
      </w:r>
      <w:r w:rsidR="000511A5">
        <w:rPr>
          <w:lang w:eastAsia="en-AU"/>
        </w:rPr>
        <w:t>A</w:t>
      </w:r>
      <w:r w:rsidR="008B5555">
        <w:rPr>
          <w:lang w:eastAsia="en-AU"/>
        </w:rPr>
        <w:t>uthority</w:t>
      </w:r>
      <w:r w:rsidR="000D51FF">
        <w:rPr>
          <w:lang w:eastAsia="en-AU"/>
        </w:rPr>
        <w:t xml:space="preserve">. </w:t>
      </w:r>
      <w:r w:rsidR="00FC5AFC">
        <w:rPr>
          <w:lang w:eastAsia="en-AU"/>
        </w:rPr>
        <w:t>W</w:t>
      </w:r>
      <w:r w:rsidR="008D2D61">
        <w:rPr>
          <w:lang w:eastAsia="en-AU"/>
        </w:rPr>
        <w:t>e</w:t>
      </w:r>
      <w:r w:rsidR="009E56DA">
        <w:rPr>
          <w:lang w:eastAsia="en-AU"/>
        </w:rPr>
        <w:t xml:space="preserve"> understand </w:t>
      </w:r>
      <w:r w:rsidR="002D5773">
        <w:rPr>
          <w:lang w:eastAsia="en-AU"/>
        </w:rPr>
        <w:t xml:space="preserve">the role we </w:t>
      </w:r>
      <w:r w:rsidR="009E56DA">
        <w:rPr>
          <w:lang w:eastAsia="en-AU"/>
        </w:rPr>
        <w:t>play in supporting reconciliation</w:t>
      </w:r>
      <w:r w:rsidR="00F23AA1">
        <w:rPr>
          <w:lang w:eastAsia="en-AU"/>
        </w:rPr>
        <w:t>, the need to reflect on our shortcomings</w:t>
      </w:r>
      <w:r w:rsidR="00042D08">
        <w:rPr>
          <w:lang w:eastAsia="en-AU"/>
        </w:rPr>
        <w:t xml:space="preserve"> and </w:t>
      </w:r>
      <w:r w:rsidR="009C60BA">
        <w:rPr>
          <w:lang w:eastAsia="en-AU"/>
        </w:rPr>
        <w:t>be led by A</w:t>
      </w:r>
      <w:r w:rsidR="00D95722">
        <w:rPr>
          <w:lang w:eastAsia="en-AU"/>
        </w:rPr>
        <w:t xml:space="preserve">boriginal Community Controlled Organisations in the sector </w:t>
      </w:r>
      <w:r w:rsidR="00042D08">
        <w:rPr>
          <w:lang w:eastAsia="en-AU"/>
        </w:rPr>
        <w:t xml:space="preserve">as we move towards our goal of </w:t>
      </w:r>
      <w:r w:rsidR="0039392D">
        <w:rPr>
          <w:lang w:eastAsia="en-AU"/>
        </w:rPr>
        <w:t>self-determination</w:t>
      </w:r>
      <w:r>
        <w:rPr>
          <w:lang w:eastAsia="en-AU"/>
        </w:rPr>
        <w:t xml:space="preserve">. </w:t>
      </w:r>
    </w:p>
    <w:p w14:paraId="6A5A9AD6" w14:textId="651A09A5" w:rsidR="00506C53" w:rsidRDefault="0042441F" w:rsidP="004951AE">
      <w:pPr>
        <w:rPr>
          <w:lang w:eastAsia="en-AU"/>
        </w:rPr>
      </w:pPr>
      <w:r>
        <w:rPr>
          <w:lang w:eastAsia="en-AU"/>
        </w:rPr>
        <w:t xml:space="preserve">We welcome the </w:t>
      </w:r>
      <w:hyperlink r:id="rId11">
        <w:r w:rsidR="004951AE" w:rsidRPr="130D023B">
          <w:rPr>
            <w:rStyle w:val="Hyperlink"/>
            <w:lang w:eastAsia="en-AU"/>
          </w:rPr>
          <w:t>reforms of the Youth</w:t>
        </w:r>
        <w:r w:rsidR="00B067B4">
          <w:rPr>
            <w:rStyle w:val="Hyperlink"/>
            <w:lang w:eastAsia="en-AU"/>
          </w:rPr>
          <w:t xml:space="preserve"> J</w:t>
        </w:r>
        <w:r w:rsidR="004951AE" w:rsidRPr="130D023B">
          <w:rPr>
            <w:rStyle w:val="Hyperlink"/>
            <w:lang w:eastAsia="en-AU"/>
          </w:rPr>
          <w:t xml:space="preserve">ustice </w:t>
        </w:r>
        <w:r w:rsidR="00B067B4">
          <w:rPr>
            <w:rStyle w:val="Hyperlink"/>
            <w:lang w:eastAsia="en-AU"/>
          </w:rPr>
          <w:t>B</w:t>
        </w:r>
        <w:r w:rsidR="004951AE" w:rsidRPr="130D023B">
          <w:rPr>
            <w:rStyle w:val="Hyperlink"/>
            <w:lang w:eastAsia="en-AU"/>
          </w:rPr>
          <w:t>ill</w:t>
        </w:r>
      </w:hyperlink>
      <w:r w:rsidR="006D3E6E">
        <w:rPr>
          <w:lang w:eastAsia="en-AU"/>
        </w:rPr>
        <w:t xml:space="preserve"> </w:t>
      </w:r>
      <w:r w:rsidR="00C00E42" w:rsidRPr="130D023B">
        <w:rPr>
          <w:lang w:eastAsia="en-AU"/>
        </w:rPr>
        <w:t xml:space="preserve">that </w:t>
      </w:r>
      <w:r w:rsidR="00D2291C">
        <w:rPr>
          <w:lang w:eastAsia="en-AU"/>
        </w:rPr>
        <w:t xml:space="preserve">focus on </w:t>
      </w:r>
      <w:r w:rsidR="006A08C0">
        <w:rPr>
          <w:lang w:eastAsia="en-AU"/>
        </w:rPr>
        <w:t>caution and diversion</w:t>
      </w:r>
      <w:r w:rsidR="00384686">
        <w:rPr>
          <w:lang w:eastAsia="en-AU"/>
        </w:rPr>
        <w:t xml:space="preserve"> and ensuring children and young people have the </w:t>
      </w:r>
      <w:r w:rsidR="00D52413">
        <w:rPr>
          <w:lang w:eastAsia="en-AU"/>
        </w:rPr>
        <w:t>right support</w:t>
      </w:r>
      <w:r w:rsidR="008D4394">
        <w:rPr>
          <w:lang w:eastAsia="en-AU"/>
        </w:rPr>
        <w:t>. These</w:t>
      </w:r>
      <w:r w:rsidR="0096321C">
        <w:rPr>
          <w:lang w:eastAsia="en-AU"/>
        </w:rPr>
        <w:t xml:space="preserve"> changes </w:t>
      </w:r>
      <w:r w:rsidR="007B066F">
        <w:rPr>
          <w:lang w:eastAsia="en-AU"/>
        </w:rPr>
        <w:t xml:space="preserve">recognise that children have a distinct capacity for positive </w:t>
      </w:r>
      <w:r w:rsidR="005B49D3">
        <w:rPr>
          <w:lang w:eastAsia="en-AU"/>
        </w:rPr>
        <w:t>change and</w:t>
      </w:r>
      <w:r w:rsidR="007B066F">
        <w:rPr>
          <w:lang w:eastAsia="en-AU"/>
        </w:rPr>
        <w:t xml:space="preserve"> </w:t>
      </w:r>
      <w:r w:rsidR="0096321C">
        <w:rPr>
          <w:lang w:eastAsia="en-AU"/>
        </w:rPr>
        <w:t xml:space="preserve">will make a positive difference </w:t>
      </w:r>
      <w:r w:rsidR="006144D6">
        <w:rPr>
          <w:lang w:eastAsia="en-AU"/>
        </w:rPr>
        <w:t>to children and young people</w:t>
      </w:r>
      <w:r w:rsidR="007B066F">
        <w:rPr>
          <w:lang w:eastAsia="en-AU"/>
        </w:rPr>
        <w:t>.</w:t>
      </w:r>
      <w:r w:rsidR="00CF6FAD">
        <w:rPr>
          <w:lang w:eastAsia="en-AU"/>
        </w:rPr>
        <w:t xml:space="preserve"> </w:t>
      </w:r>
      <w:r w:rsidR="00B067B4">
        <w:rPr>
          <w:lang w:eastAsia="en-AU"/>
        </w:rPr>
        <w:t>We are, however,</w:t>
      </w:r>
      <w:r w:rsidR="00C00E42">
        <w:rPr>
          <w:lang w:eastAsia="en-AU"/>
        </w:rPr>
        <w:t xml:space="preserve"> disappointed with the state government’s decision to abandon its commitment to raise the age of criminal responsibility to 14.</w:t>
      </w:r>
      <w:r w:rsidR="006B444C" w:rsidRPr="006B444C">
        <w:rPr>
          <w:lang w:eastAsia="en-AU"/>
        </w:rPr>
        <w:t xml:space="preserve"> </w:t>
      </w:r>
      <w:r w:rsidR="0ED478B5" w:rsidRPr="0502F8D3">
        <w:rPr>
          <w:lang w:eastAsia="en-AU"/>
        </w:rPr>
        <w:t>Th</w:t>
      </w:r>
      <w:r w:rsidR="00261E14" w:rsidRPr="0502F8D3">
        <w:rPr>
          <w:lang w:eastAsia="en-AU"/>
        </w:rPr>
        <w:t>e</w:t>
      </w:r>
      <w:r w:rsidR="00261E14">
        <w:rPr>
          <w:lang w:eastAsia="en-AU"/>
        </w:rPr>
        <w:t xml:space="preserve"> </w:t>
      </w:r>
      <w:hyperlink r:id="rId12">
        <w:r w:rsidR="00261E14" w:rsidRPr="0502F8D3">
          <w:rPr>
            <w:rStyle w:val="Hyperlink"/>
            <w:lang w:eastAsia="en-AU"/>
          </w:rPr>
          <w:t>Yoorrook for Justice report</w:t>
        </w:r>
      </w:hyperlink>
      <w:r w:rsidR="00261E14" w:rsidRPr="0502F8D3">
        <w:rPr>
          <w:lang w:eastAsia="en-AU"/>
        </w:rPr>
        <w:t xml:space="preserve"> </w:t>
      </w:r>
      <w:r w:rsidR="1526B960" w:rsidRPr="0502F8D3">
        <w:rPr>
          <w:lang w:eastAsia="en-AU"/>
        </w:rPr>
        <w:t>called for</w:t>
      </w:r>
      <w:r w:rsidR="293260B8" w:rsidRPr="0502F8D3">
        <w:rPr>
          <w:lang w:eastAsia="en-AU"/>
        </w:rPr>
        <w:t xml:space="preserve"> </w:t>
      </w:r>
      <w:r w:rsidR="0CC3B023" w:rsidRPr="0502F8D3">
        <w:rPr>
          <w:lang w:eastAsia="en-AU"/>
        </w:rPr>
        <w:t>transformational</w:t>
      </w:r>
      <w:r w:rsidR="293260B8" w:rsidRPr="0502F8D3">
        <w:rPr>
          <w:lang w:eastAsia="en-AU"/>
        </w:rPr>
        <w:t xml:space="preserve"> change</w:t>
      </w:r>
      <w:r w:rsidR="00FD6171">
        <w:rPr>
          <w:lang w:eastAsia="en-AU"/>
        </w:rPr>
        <w:t xml:space="preserve"> of the justice system including raising the age of criminal responsibility to 14. W</w:t>
      </w:r>
      <w:r w:rsidR="006B444C" w:rsidRPr="130D023B">
        <w:rPr>
          <w:lang w:eastAsia="en-AU"/>
        </w:rPr>
        <w:t xml:space="preserve">e maintain our </w:t>
      </w:r>
      <w:r w:rsidR="00012F07">
        <w:rPr>
          <w:lang w:eastAsia="en-AU"/>
        </w:rPr>
        <w:t xml:space="preserve">strong support </w:t>
      </w:r>
      <w:r w:rsidR="009909C5">
        <w:rPr>
          <w:lang w:eastAsia="en-AU"/>
        </w:rPr>
        <w:t>for the need to raise the</w:t>
      </w:r>
      <w:r w:rsidR="006B444C" w:rsidRPr="130D023B">
        <w:rPr>
          <w:lang w:eastAsia="en-AU"/>
        </w:rPr>
        <w:t xml:space="preserve"> age </w:t>
      </w:r>
      <w:r w:rsidR="009909C5">
        <w:rPr>
          <w:lang w:eastAsia="en-AU"/>
        </w:rPr>
        <w:t>without delay</w:t>
      </w:r>
      <w:r w:rsidR="006B444C" w:rsidRPr="130D023B">
        <w:rPr>
          <w:lang w:eastAsia="en-AU"/>
        </w:rPr>
        <w:t>. Doing so is the best way to support children to develop positive behaviours and would contribute to addressing the systemic racism which leads to the over criminalisation of First Nations children, and children from communities of colour</w:t>
      </w:r>
      <w:r w:rsidR="00B0500A">
        <w:rPr>
          <w:lang w:eastAsia="en-AU"/>
        </w:rPr>
        <w:t>.</w:t>
      </w:r>
      <w:r w:rsidR="006B444C" w:rsidRPr="130D023B">
        <w:rPr>
          <w:lang w:eastAsia="en-AU"/>
        </w:rPr>
        <w:t xml:space="preserve"> </w:t>
      </w:r>
    </w:p>
    <w:p w14:paraId="1605A6CB" w14:textId="1C61B195" w:rsidR="004951AE" w:rsidRDefault="004951AE" w:rsidP="004951AE">
      <w:pPr>
        <w:rPr>
          <w:lang w:eastAsia="en-AU"/>
        </w:rPr>
      </w:pPr>
      <w:r>
        <w:rPr>
          <w:lang w:eastAsia="en-AU"/>
        </w:rPr>
        <w:t xml:space="preserve">Our Horsham office recently </w:t>
      </w:r>
      <w:hyperlink r:id="rId13" w:history="1">
        <w:r w:rsidRPr="00DD382D">
          <w:rPr>
            <w:rStyle w:val="Hyperlink"/>
            <w:lang w:eastAsia="en-AU"/>
          </w:rPr>
          <w:t>celebrated 20 years of operation</w:t>
        </w:r>
      </w:hyperlink>
      <w:r>
        <w:rPr>
          <w:lang w:eastAsia="en-AU"/>
        </w:rPr>
        <w:t>. In that time, the office has seen significant growth, doubling in size since it first opened its doors in 2004</w:t>
      </w:r>
      <w:r w:rsidR="001573E6">
        <w:rPr>
          <w:lang w:eastAsia="en-AU"/>
        </w:rPr>
        <w:t xml:space="preserve"> and now a vital part of the local community</w:t>
      </w:r>
      <w:r>
        <w:rPr>
          <w:lang w:eastAsia="en-AU"/>
        </w:rPr>
        <w:t xml:space="preserve">. The office is an example of </w:t>
      </w:r>
      <w:r w:rsidR="000F473B">
        <w:rPr>
          <w:lang w:eastAsia="en-AU"/>
        </w:rPr>
        <w:t xml:space="preserve">VLA’s commitment to </w:t>
      </w:r>
      <w:r>
        <w:rPr>
          <w:lang w:eastAsia="en-AU"/>
        </w:rPr>
        <w:t xml:space="preserve">regional service delivery </w:t>
      </w:r>
      <w:r w:rsidR="000F473B">
        <w:rPr>
          <w:lang w:eastAsia="en-AU"/>
        </w:rPr>
        <w:t xml:space="preserve">and </w:t>
      </w:r>
      <w:r>
        <w:rPr>
          <w:lang w:eastAsia="en-AU"/>
        </w:rPr>
        <w:t xml:space="preserve">ensuring </w:t>
      </w:r>
      <w:r w:rsidR="005D0919">
        <w:rPr>
          <w:lang w:eastAsia="en-AU"/>
        </w:rPr>
        <w:t xml:space="preserve">disadvantaged </w:t>
      </w:r>
      <w:r>
        <w:rPr>
          <w:lang w:eastAsia="en-AU"/>
        </w:rPr>
        <w:t xml:space="preserve">people </w:t>
      </w:r>
      <w:r w:rsidR="00A11621">
        <w:rPr>
          <w:lang w:eastAsia="en-AU"/>
        </w:rPr>
        <w:t xml:space="preserve">can access </w:t>
      </w:r>
      <w:r w:rsidR="00AD6736">
        <w:rPr>
          <w:lang w:eastAsia="en-AU"/>
        </w:rPr>
        <w:t xml:space="preserve">the </w:t>
      </w:r>
      <w:r w:rsidR="00D6559D">
        <w:rPr>
          <w:lang w:eastAsia="en-AU"/>
        </w:rPr>
        <w:t xml:space="preserve">right </w:t>
      </w:r>
      <w:r w:rsidR="00A11621">
        <w:rPr>
          <w:lang w:eastAsia="en-AU"/>
        </w:rPr>
        <w:t xml:space="preserve">services </w:t>
      </w:r>
      <w:r>
        <w:rPr>
          <w:lang w:eastAsia="en-AU"/>
        </w:rPr>
        <w:t xml:space="preserve">across </w:t>
      </w:r>
      <w:r w:rsidR="007B6A46">
        <w:rPr>
          <w:lang w:eastAsia="en-AU"/>
        </w:rPr>
        <w:t xml:space="preserve">all of </w:t>
      </w:r>
      <w:r w:rsidR="00A11621">
        <w:rPr>
          <w:lang w:eastAsia="en-AU"/>
        </w:rPr>
        <w:t>Victoria</w:t>
      </w:r>
      <w:r w:rsidR="00F42680">
        <w:rPr>
          <w:lang w:eastAsia="en-AU"/>
        </w:rPr>
        <w:t>.</w:t>
      </w:r>
      <w:r>
        <w:rPr>
          <w:lang w:eastAsia="en-AU"/>
        </w:rPr>
        <w:t xml:space="preserve"> </w:t>
      </w:r>
      <w:r w:rsidR="009A72CB">
        <w:rPr>
          <w:lang w:eastAsia="en-AU"/>
        </w:rPr>
        <w:t xml:space="preserve">In line with </w:t>
      </w:r>
      <w:r>
        <w:rPr>
          <w:lang w:eastAsia="en-AU"/>
        </w:rPr>
        <w:t xml:space="preserve">this, we recently relocated </w:t>
      </w:r>
      <w:r w:rsidR="005C4933">
        <w:rPr>
          <w:lang w:eastAsia="en-AU"/>
        </w:rPr>
        <w:t xml:space="preserve">our </w:t>
      </w:r>
      <w:hyperlink r:id="rId14" w:history="1">
        <w:r w:rsidRPr="00380A2E">
          <w:rPr>
            <w:rStyle w:val="Hyperlink"/>
            <w:lang w:eastAsia="en-AU"/>
          </w:rPr>
          <w:t>Mildura</w:t>
        </w:r>
      </w:hyperlink>
      <w:r>
        <w:rPr>
          <w:lang w:eastAsia="en-AU"/>
        </w:rPr>
        <w:t xml:space="preserve"> </w:t>
      </w:r>
      <w:r w:rsidR="005C4933">
        <w:rPr>
          <w:lang w:eastAsia="en-AU"/>
        </w:rPr>
        <w:t>office</w:t>
      </w:r>
      <w:r>
        <w:rPr>
          <w:lang w:eastAsia="en-AU"/>
        </w:rPr>
        <w:t xml:space="preserve"> to </w:t>
      </w:r>
      <w:r w:rsidR="00EC3772">
        <w:rPr>
          <w:lang w:eastAsia="en-AU"/>
        </w:rPr>
        <w:t xml:space="preserve">new </w:t>
      </w:r>
      <w:r w:rsidR="0040709C">
        <w:rPr>
          <w:lang w:eastAsia="en-AU"/>
        </w:rPr>
        <w:t xml:space="preserve">dedicated </w:t>
      </w:r>
      <w:r>
        <w:rPr>
          <w:lang w:eastAsia="en-AU"/>
        </w:rPr>
        <w:t xml:space="preserve">premises </w:t>
      </w:r>
      <w:r w:rsidR="00AE526F">
        <w:rPr>
          <w:lang w:eastAsia="en-AU"/>
        </w:rPr>
        <w:t xml:space="preserve">to </w:t>
      </w:r>
      <w:r w:rsidR="00F502BD">
        <w:rPr>
          <w:lang w:eastAsia="en-AU"/>
        </w:rPr>
        <w:t>provide easier access and better supports for clients</w:t>
      </w:r>
      <w:r w:rsidR="00AD6736">
        <w:rPr>
          <w:lang w:eastAsia="en-AU"/>
        </w:rPr>
        <w:t xml:space="preserve">. </w:t>
      </w:r>
      <w:r w:rsidR="00AE526F">
        <w:rPr>
          <w:lang w:eastAsia="en-AU"/>
        </w:rPr>
        <w:t xml:space="preserve">We were </w:t>
      </w:r>
      <w:r w:rsidR="001D4587">
        <w:rPr>
          <w:lang w:eastAsia="en-AU"/>
        </w:rPr>
        <w:t>pleased</w:t>
      </w:r>
      <w:r w:rsidR="00AE526F">
        <w:rPr>
          <w:lang w:eastAsia="en-AU"/>
        </w:rPr>
        <w:t xml:space="preserve"> the Att</w:t>
      </w:r>
      <w:r w:rsidR="008301E1">
        <w:rPr>
          <w:lang w:eastAsia="en-AU"/>
        </w:rPr>
        <w:t xml:space="preserve">orney-General could open the office with our partners. </w:t>
      </w:r>
      <w:r w:rsidR="00AD6736">
        <w:rPr>
          <w:lang w:eastAsia="en-AU"/>
        </w:rPr>
        <w:t xml:space="preserve">We have also </w:t>
      </w:r>
      <w:r>
        <w:rPr>
          <w:lang w:eastAsia="en-AU"/>
        </w:rPr>
        <w:t xml:space="preserve">commenced the process </w:t>
      </w:r>
      <w:r w:rsidR="4A32FB1F">
        <w:rPr>
          <w:lang w:eastAsia="en-AU"/>
        </w:rPr>
        <w:t>of</w:t>
      </w:r>
      <w:r>
        <w:rPr>
          <w:lang w:eastAsia="en-AU"/>
        </w:rPr>
        <w:t xml:space="preserve"> expanding our services </w:t>
      </w:r>
      <w:r w:rsidR="007E45D6">
        <w:rPr>
          <w:lang w:eastAsia="en-AU"/>
        </w:rPr>
        <w:t xml:space="preserve">in </w:t>
      </w:r>
      <w:hyperlink r:id="rId15" w:history="1">
        <w:r w:rsidR="007E45D6" w:rsidRPr="00607970">
          <w:rPr>
            <w:rStyle w:val="Hyperlink"/>
            <w:rFonts w:cs="Arial"/>
            <w:spacing w:val="5"/>
          </w:rPr>
          <w:t>Wodonga</w:t>
        </w:r>
      </w:hyperlink>
      <w:r w:rsidR="002910F9">
        <w:rPr>
          <w:rStyle w:val="Hyperlink"/>
          <w:rFonts w:cs="Arial"/>
          <w:spacing w:val="5"/>
        </w:rPr>
        <w:t xml:space="preserve"> </w:t>
      </w:r>
      <w:r w:rsidR="00074DBE" w:rsidRPr="00FF4A8A">
        <w:rPr>
          <w:lang w:eastAsia="en-AU"/>
        </w:rPr>
        <w:t xml:space="preserve">to meet much needed demand in </w:t>
      </w:r>
      <w:r>
        <w:rPr>
          <w:lang w:eastAsia="en-AU"/>
        </w:rPr>
        <w:t>North-</w:t>
      </w:r>
      <w:r w:rsidR="006C5F9E">
        <w:rPr>
          <w:lang w:eastAsia="en-AU"/>
        </w:rPr>
        <w:t xml:space="preserve">East </w:t>
      </w:r>
      <w:r w:rsidR="001F62CA">
        <w:rPr>
          <w:lang w:eastAsia="en-AU"/>
        </w:rPr>
        <w:t>Victoria</w:t>
      </w:r>
      <w:r w:rsidR="00AD6736">
        <w:rPr>
          <w:lang w:eastAsia="en-AU"/>
        </w:rPr>
        <w:t>,</w:t>
      </w:r>
      <w:r w:rsidR="002910F9">
        <w:rPr>
          <w:lang w:eastAsia="en-AU"/>
        </w:rPr>
        <w:t xml:space="preserve"> working </w:t>
      </w:r>
      <w:r w:rsidR="00074DBE">
        <w:rPr>
          <w:lang w:eastAsia="en-AU"/>
        </w:rPr>
        <w:t xml:space="preserve">closely </w:t>
      </w:r>
      <w:r w:rsidR="002910F9">
        <w:rPr>
          <w:lang w:eastAsia="en-AU"/>
        </w:rPr>
        <w:t xml:space="preserve">with the </w:t>
      </w:r>
      <w:r w:rsidR="00074DBE">
        <w:rPr>
          <w:lang w:eastAsia="en-AU"/>
        </w:rPr>
        <w:t xml:space="preserve">local </w:t>
      </w:r>
      <w:r w:rsidR="002910F9">
        <w:rPr>
          <w:lang w:eastAsia="en-AU"/>
        </w:rPr>
        <w:t>CLC and panel practitioners.</w:t>
      </w:r>
      <w:r>
        <w:rPr>
          <w:lang w:eastAsia="en-AU"/>
        </w:rPr>
        <w:t xml:space="preserve"> </w:t>
      </w:r>
    </w:p>
    <w:p w14:paraId="29589B40" w14:textId="23F79113" w:rsidR="00C22187" w:rsidRDefault="00661325" w:rsidP="004951AE">
      <w:pPr>
        <w:rPr>
          <w:lang w:eastAsia="en-AU"/>
        </w:rPr>
      </w:pPr>
      <w:r>
        <w:rPr>
          <w:lang w:eastAsia="en-AU"/>
        </w:rPr>
        <w:t xml:space="preserve">An </w:t>
      </w:r>
      <w:hyperlink r:id="rId16" w:history="1">
        <w:r w:rsidRPr="00B86765">
          <w:rPr>
            <w:rStyle w:val="Hyperlink"/>
            <w:lang w:eastAsia="en-AU"/>
          </w:rPr>
          <w:t>evaluation of</w:t>
        </w:r>
        <w:r w:rsidR="001F4480">
          <w:rPr>
            <w:rStyle w:val="Hyperlink"/>
            <w:lang w:eastAsia="en-AU"/>
          </w:rPr>
          <w:t xml:space="preserve"> the Youth Citizenship in the West </w:t>
        </w:r>
        <w:r w:rsidRPr="00B86765">
          <w:rPr>
            <w:rStyle w:val="Hyperlink"/>
            <w:lang w:eastAsia="en-AU"/>
          </w:rPr>
          <w:t>pilot program</w:t>
        </w:r>
      </w:hyperlink>
      <w:r w:rsidR="001F4480">
        <w:rPr>
          <w:lang w:eastAsia="en-AU"/>
        </w:rPr>
        <w:t xml:space="preserve"> was launch</w:t>
      </w:r>
      <w:r w:rsidR="008E2FDF">
        <w:rPr>
          <w:lang w:eastAsia="en-AU"/>
        </w:rPr>
        <w:t>ed</w:t>
      </w:r>
      <w:r w:rsidR="001F4480">
        <w:rPr>
          <w:lang w:eastAsia="en-AU"/>
        </w:rPr>
        <w:t xml:space="preserve"> in April 2024. </w:t>
      </w:r>
      <w:r w:rsidR="004951AE" w:rsidRPr="130D023B">
        <w:rPr>
          <w:lang w:eastAsia="en-AU"/>
        </w:rPr>
        <w:t xml:space="preserve">The </w:t>
      </w:r>
      <w:r w:rsidR="001F4480">
        <w:rPr>
          <w:lang w:eastAsia="en-AU"/>
        </w:rPr>
        <w:t>pilot program, run in collaboration with WEstjustice and other partners in the Western Suburbs</w:t>
      </w:r>
      <w:r w:rsidR="00A30D6E">
        <w:rPr>
          <w:lang w:eastAsia="en-AU"/>
        </w:rPr>
        <w:t>,</w:t>
      </w:r>
      <w:r w:rsidR="00B5168E">
        <w:rPr>
          <w:lang w:eastAsia="en-AU"/>
        </w:rPr>
        <w:t xml:space="preserve"> aims to support refugees in Melbourne’s west apply for Australian citizenship. The evaluation f</w:t>
      </w:r>
      <w:r w:rsidR="004B5364">
        <w:rPr>
          <w:lang w:eastAsia="en-AU"/>
        </w:rPr>
        <w:t xml:space="preserve">ound </w:t>
      </w:r>
      <w:r w:rsidR="00B5168E">
        <w:rPr>
          <w:lang w:eastAsia="en-AU"/>
        </w:rPr>
        <w:t>the program has exceeded</w:t>
      </w:r>
      <w:r w:rsidR="0034189E">
        <w:rPr>
          <w:lang w:eastAsia="en-AU"/>
        </w:rPr>
        <w:t xml:space="preserve"> expectations </w:t>
      </w:r>
      <w:r w:rsidR="00DD1E72">
        <w:rPr>
          <w:lang w:eastAsia="en-AU"/>
        </w:rPr>
        <w:t xml:space="preserve">and has </w:t>
      </w:r>
      <w:r w:rsidR="00776546">
        <w:rPr>
          <w:lang w:eastAsia="en-AU"/>
        </w:rPr>
        <w:t>had a</w:t>
      </w:r>
      <w:r w:rsidR="00AD31E8">
        <w:rPr>
          <w:lang w:eastAsia="en-AU"/>
        </w:rPr>
        <w:t xml:space="preserve"> significant impact on </w:t>
      </w:r>
      <w:r w:rsidR="00D532B6">
        <w:rPr>
          <w:lang w:eastAsia="en-AU"/>
        </w:rPr>
        <w:t>people’s</w:t>
      </w:r>
      <w:r w:rsidR="00AD31E8">
        <w:rPr>
          <w:lang w:eastAsia="en-AU"/>
        </w:rPr>
        <w:t xml:space="preserve"> lives</w:t>
      </w:r>
      <w:r w:rsidR="00D532B6">
        <w:rPr>
          <w:lang w:eastAsia="en-AU"/>
        </w:rPr>
        <w:t>,</w:t>
      </w:r>
      <w:r w:rsidR="00776546">
        <w:rPr>
          <w:lang w:eastAsia="en-AU"/>
        </w:rPr>
        <w:t xml:space="preserve"> </w:t>
      </w:r>
      <w:r w:rsidR="000964B7">
        <w:rPr>
          <w:lang w:eastAsia="en-AU"/>
        </w:rPr>
        <w:t>and</w:t>
      </w:r>
      <w:r w:rsidR="000966A4">
        <w:rPr>
          <w:lang w:eastAsia="en-AU"/>
        </w:rPr>
        <w:t xml:space="preserve"> </w:t>
      </w:r>
      <w:r w:rsidR="00E07D6D">
        <w:rPr>
          <w:lang w:eastAsia="en-AU"/>
        </w:rPr>
        <w:t>that there is</w:t>
      </w:r>
      <w:r w:rsidR="0075609D">
        <w:rPr>
          <w:lang w:eastAsia="en-AU"/>
        </w:rPr>
        <w:t xml:space="preserve"> a clear need</w:t>
      </w:r>
      <w:r w:rsidR="00E07D6D">
        <w:rPr>
          <w:lang w:eastAsia="en-AU"/>
        </w:rPr>
        <w:t xml:space="preserve"> </w:t>
      </w:r>
      <w:r w:rsidR="0075609D">
        <w:rPr>
          <w:lang w:eastAsia="en-AU"/>
        </w:rPr>
        <w:t>to continue</w:t>
      </w:r>
      <w:r w:rsidR="00966180">
        <w:rPr>
          <w:lang w:eastAsia="en-AU"/>
        </w:rPr>
        <w:t xml:space="preserve"> the program and expand </w:t>
      </w:r>
      <w:r w:rsidR="00523233">
        <w:rPr>
          <w:lang w:eastAsia="en-AU"/>
        </w:rPr>
        <w:t xml:space="preserve">to other locations across the state. </w:t>
      </w:r>
      <w:r w:rsidR="0057237C">
        <w:rPr>
          <w:lang w:eastAsia="en-AU"/>
        </w:rPr>
        <w:t xml:space="preserve"> </w:t>
      </w:r>
    </w:p>
    <w:p w14:paraId="71DC7B4E" w14:textId="371B1634" w:rsidR="004951AE" w:rsidRDefault="004951AE" w:rsidP="00FF4A8A">
      <w:pPr>
        <w:snapToGrid w:val="0"/>
        <w:spacing w:after="240"/>
        <w:rPr>
          <w:lang w:eastAsia="en-AU"/>
        </w:rPr>
      </w:pPr>
      <w:r w:rsidRPr="130D023B">
        <w:rPr>
          <w:lang w:eastAsia="en-AU"/>
        </w:rPr>
        <w:t xml:space="preserve">The </w:t>
      </w:r>
      <w:r w:rsidR="006E393F">
        <w:rPr>
          <w:lang w:eastAsia="en-AU"/>
        </w:rPr>
        <w:t>i</w:t>
      </w:r>
      <w:r w:rsidRPr="130D023B">
        <w:rPr>
          <w:lang w:eastAsia="en-AU"/>
        </w:rPr>
        <w:t xml:space="preserve">ndependent review of the National Legal Assistance Partnership </w:t>
      </w:r>
      <w:r w:rsidR="00CB3B50">
        <w:rPr>
          <w:lang w:eastAsia="en-AU"/>
        </w:rPr>
        <w:t xml:space="preserve">(NLAP) </w:t>
      </w:r>
      <w:r w:rsidRPr="130D023B">
        <w:rPr>
          <w:lang w:eastAsia="en-AU"/>
        </w:rPr>
        <w:t xml:space="preserve">is an important recognition of </w:t>
      </w:r>
      <w:r w:rsidR="00DB441C" w:rsidRPr="130D023B">
        <w:rPr>
          <w:lang w:eastAsia="en-AU"/>
        </w:rPr>
        <w:t xml:space="preserve">the </w:t>
      </w:r>
      <w:r w:rsidRPr="130D023B">
        <w:rPr>
          <w:lang w:eastAsia="en-AU"/>
        </w:rPr>
        <w:t xml:space="preserve">continued under resourcing of the legal assistance sector. The review </w:t>
      </w:r>
      <w:r w:rsidR="00B8766D">
        <w:rPr>
          <w:lang w:eastAsia="en-AU"/>
        </w:rPr>
        <w:t xml:space="preserve">highlights the need for </w:t>
      </w:r>
      <w:r w:rsidRPr="130D023B">
        <w:rPr>
          <w:lang w:eastAsia="en-AU"/>
        </w:rPr>
        <w:t xml:space="preserve">better support </w:t>
      </w:r>
      <w:r w:rsidR="009F6B5C">
        <w:rPr>
          <w:lang w:eastAsia="en-AU"/>
        </w:rPr>
        <w:t xml:space="preserve">for </w:t>
      </w:r>
      <w:r w:rsidRPr="130D023B">
        <w:rPr>
          <w:lang w:eastAsia="en-AU"/>
        </w:rPr>
        <w:t>the sector and the needs of people experiencing disadvantage</w:t>
      </w:r>
      <w:r w:rsidR="00F52237">
        <w:rPr>
          <w:lang w:eastAsia="en-AU"/>
        </w:rPr>
        <w:t xml:space="preserve"> in civil and family law</w:t>
      </w:r>
      <w:r w:rsidR="000F3DB1">
        <w:rPr>
          <w:lang w:eastAsia="en-AU"/>
        </w:rPr>
        <w:t xml:space="preserve">, especially women </w:t>
      </w:r>
      <w:r w:rsidR="00F52237">
        <w:rPr>
          <w:lang w:eastAsia="en-AU"/>
        </w:rPr>
        <w:t xml:space="preserve">and children </w:t>
      </w:r>
      <w:r w:rsidR="000F3DB1">
        <w:rPr>
          <w:lang w:eastAsia="en-AU"/>
        </w:rPr>
        <w:t>experiencing family violence</w:t>
      </w:r>
      <w:r w:rsidRPr="130D023B">
        <w:rPr>
          <w:lang w:eastAsia="en-AU"/>
        </w:rPr>
        <w:t xml:space="preserve">. VLA </w:t>
      </w:r>
      <w:r w:rsidR="009D4049">
        <w:rPr>
          <w:lang w:eastAsia="en-AU"/>
        </w:rPr>
        <w:t xml:space="preserve">continues to </w:t>
      </w:r>
      <w:r w:rsidR="00CB3B50">
        <w:rPr>
          <w:lang w:eastAsia="en-AU"/>
        </w:rPr>
        <w:t>call for a properly funded NLAP</w:t>
      </w:r>
      <w:r w:rsidR="00236A50">
        <w:rPr>
          <w:lang w:eastAsia="en-AU"/>
        </w:rPr>
        <w:t xml:space="preserve"> to help deliver much needed services</w:t>
      </w:r>
      <w:r w:rsidR="00A06D05">
        <w:rPr>
          <w:lang w:eastAsia="en-AU"/>
        </w:rPr>
        <w:t xml:space="preserve"> as we work </w:t>
      </w:r>
      <w:r w:rsidRPr="130D023B">
        <w:rPr>
          <w:lang w:eastAsia="en-AU"/>
        </w:rPr>
        <w:t>with National Legal Aid, the Attorney-General</w:t>
      </w:r>
      <w:r w:rsidR="461AEECC" w:rsidRPr="130D023B">
        <w:rPr>
          <w:lang w:eastAsia="en-AU"/>
        </w:rPr>
        <w:t>,</w:t>
      </w:r>
      <w:r w:rsidRPr="130D023B">
        <w:rPr>
          <w:lang w:eastAsia="en-AU"/>
        </w:rPr>
        <w:t xml:space="preserve"> and the legal assistance sector to deliver on the recommendations.</w:t>
      </w:r>
    </w:p>
    <w:p w14:paraId="486A4091" w14:textId="4DE25DB5" w:rsidR="004951AE" w:rsidRDefault="00F23E1B" w:rsidP="002F30A7">
      <w:pPr>
        <w:snapToGrid w:val="0"/>
        <w:spacing w:after="240"/>
      </w:pPr>
      <w:r>
        <w:rPr>
          <w:b/>
          <w:bCs/>
        </w:rPr>
        <w:t>Louise Glanville</w:t>
      </w:r>
      <w:r w:rsidR="004951AE" w:rsidRPr="00D67354">
        <w:br/>
        <w:t>Chief Executive Officer</w:t>
      </w:r>
    </w:p>
    <w:p w14:paraId="2F76DF75" w14:textId="11B94BDA" w:rsidR="00212B87" w:rsidRPr="006C76C7" w:rsidRDefault="001E3078" w:rsidP="006663C9">
      <w:pPr>
        <w:pStyle w:val="Heading2"/>
      </w:pPr>
      <w:r>
        <w:br w:type="page"/>
      </w:r>
      <w:r w:rsidR="00212B87" w:rsidRPr="00B067B4">
        <w:lastRenderedPageBreak/>
        <w:t xml:space="preserve">Client </w:t>
      </w:r>
      <w:r w:rsidR="00212B87" w:rsidRPr="006663C9">
        <w:t>and</w:t>
      </w:r>
      <w:r w:rsidR="00212B87" w:rsidRPr="00B067B4">
        <w:t xml:space="preserve"> </w:t>
      </w:r>
      <w:r w:rsidR="001710EE" w:rsidRPr="00B067B4">
        <w:t>community services</w:t>
      </w:r>
    </w:p>
    <w:p w14:paraId="7E674CC3" w14:textId="44986930" w:rsidR="00212B87" w:rsidRDefault="00212B87" w:rsidP="00212B87">
      <w:r>
        <w:t xml:space="preserve">Our services are targeted to people facing disadvantage who have the greatest legal need. We tailor our services to people’s diverse needs and capabilities and recognise that many people experience barriers to accessing justice. We provide a mix of early intervention and preventative services, </w:t>
      </w:r>
      <w:r w:rsidR="006C4CBD">
        <w:t>high</w:t>
      </w:r>
      <w:r w:rsidR="00803C61">
        <w:noBreakHyphen/>
      </w:r>
      <w:r w:rsidR="00223BAF">
        <w:t xml:space="preserve">intensity legal services, </w:t>
      </w:r>
      <w:r>
        <w:t>and non-legal specialist resolution and advocacy services.</w:t>
      </w:r>
    </w:p>
    <w:p w14:paraId="5BF8DD0F" w14:textId="74D17264" w:rsidR="00212B87" w:rsidRPr="006663C9" w:rsidRDefault="00212B87" w:rsidP="006663C9">
      <w:pPr>
        <w:pStyle w:val="Heading2"/>
      </w:pPr>
      <w:r w:rsidRPr="006663C9">
        <w:t xml:space="preserve">Client </w:t>
      </w:r>
      <w:r w:rsidR="001710EE" w:rsidRPr="006663C9">
        <w:t>services</w:t>
      </w:r>
    </w:p>
    <w:p w14:paraId="75456AFA" w14:textId="05B725F9" w:rsidR="00212B87" w:rsidRDefault="00212B87" w:rsidP="0B2DEDFC">
      <w:pPr>
        <w:rPr>
          <w:highlight w:val="yellow"/>
        </w:rPr>
      </w:pPr>
      <w:r>
        <w:t xml:space="preserve">In quarter </w:t>
      </w:r>
      <w:r w:rsidR="1D28AB8F">
        <w:t>four</w:t>
      </w:r>
      <w:r>
        <w:t xml:space="preserve">, we saw </w:t>
      </w:r>
      <w:r w:rsidR="6DF1693C">
        <w:t>14,963</w:t>
      </w:r>
      <w:r>
        <w:t xml:space="preserve"> unique clients (Table 1.1). This is a</w:t>
      </w:r>
      <w:r w:rsidR="006C4CBD">
        <w:t>n</w:t>
      </w:r>
      <w:r>
        <w:t xml:space="preserve"> </w:t>
      </w:r>
      <w:r w:rsidR="3882DF86">
        <w:t>1</w:t>
      </w:r>
      <w:r w:rsidR="190B2119">
        <w:t xml:space="preserve">1 </w:t>
      </w:r>
      <w:r>
        <w:t>per</w:t>
      </w:r>
      <w:r w:rsidR="006C4CBD">
        <w:t xml:space="preserve"> </w:t>
      </w:r>
      <w:r>
        <w:t>cent decrease from quarter t</w:t>
      </w:r>
      <w:r w:rsidR="62C93F9A">
        <w:t>hree</w:t>
      </w:r>
      <w:r>
        <w:t>. Clients are only counted the first time they receive a legal assistance service in a financial year</w:t>
      </w:r>
      <w:r w:rsidR="00FA21A2">
        <w:t xml:space="preserve"> even though s</w:t>
      </w:r>
      <w:r w:rsidR="008607BE">
        <w:t>ome clients may receive multiple</w:t>
      </w:r>
      <w:r>
        <w:t xml:space="preserve"> services </w:t>
      </w:r>
      <w:r w:rsidR="00FA21A2">
        <w:t>throughout the year. As</w:t>
      </w:r>
      <w:r w:rsidR="008607BE">
        <w:t xml:space="preserve"> a result</w:t>
      </w:r>
      <w:r w:rsidR="003E629E">
        <w:t xml:space="preserve">, </w:t>
      </w:r>
      <w:r>
        <w:t xml:space="preserve">our unique client count </w:t>
      </w:r>
      <w:r w:rsidR="00FA21A2">
        <w:t>is highest at the start of the</w:t>
      </w:r>
      <w:r w:rsidR="00FC3A77">
        <w:t xml:space="preserve"> financial</w:t>
      </w:r>
      <w:r w:rsidR="00FA21A2">
        <w:t xml:space="preserve"> year and </w:t>
      </w:r>
      <w:r>
        <w:t xml:space="preserve">decreases as the year progresses. </w:t>
      </w:r>
    </w:p>
    <w:p w14:paraId="637A17C7" w14:textId="09C66B7D" w:rsidR="005870F7" w:rsidRDefault="00212B87" w:rsidP="00212B87">
      <w:pPr>
        <w:rPr>
          <w:szCs w:val="22"/>
        </w:rPr>
      </w:pPr>
      <w:r w:rsidRPr="00A95D7C">
        <w:rPr>
          <w:szCs w:val="22"/>
        </w:rPr>
        <w:t xml:space="preserve">Grants of Legal Assistance </w:t>
      </w:r>
      <w:r w:rsidR="007C3E95" w:rsidRPr="00A95D7C">
        <w:rPr>
          <w:szCs w:val="22"/>
        </w:rPr>
        <w:t xml:space="preserve">were </w:t>
      </w:r>
      <w:r w:rsidR="00053F39">
        <w:rPr>
          <w:szCs w:val="22"/>
        </w:rPr>
        <w:t>six</w:t>
      </w:r>
      <w:r w:rsidR="001F4753">
        <w:rPr>
          <w:szCs w:val="22"/>
        </w:rPr>
        <w:t xml:space="preserve"> per cent</w:t>
      </w:r>
      <w:r w:rsidR="2229DFDE" w:rsidRPr="00A95D7C">
        <w:rPr>
          <w:szCs w:val="22"/>
        </w:rPr>
        <w:t xml:space="preserve"> higher</w:t>
      </w:r>
      <w:r w:rsidR="007C3E95" w:rsidRPr="00A95D7C">
        <w:rPr>
          <w:szCs w:val="22"/>
        </w:rPr>
        <w:t xml:space="preserve"> than last quarter,</w:t>
      </w:r>
      <w:r w:rsidR="000E7AB2">
        <w:rPr>
          <w:szCs w:val="22"/>
        </w:rPr>
        <w:t xml:space="preserve"> including </w:t>
      </w:r>
      <w:r w:rsidR="00B85D32" w:rsidRPr="008B6852">
        <w:rPr>
          <w:szCs w:val="22"/>
        </w:rPr>
        <w:t xml:space="preserve">more </w:t>
      </w:r>
      <w:r w:rsidR="00F03219" w:rsidRPr="008B6852">
        <w:rPr>
          <w:szCs w:val="22"/>
        </w:rPr>
        <w:t>g</w:t>
      </w:r>
      <w:r w:rsidR="00A4479E" w:rsidRPr="008B6852">
        <w:rPr>
          <w:szCs w:val="22"/>
        </w:rPr>
        <w:t>rant extensions and court ordered funding requests</w:t>
      </w:r>
      <w:r w:rsidR="00F03219" w:rsidRPr="008B6852">
        <w:rPr>
          <w:szCs w:val="22"/>
        </w:rPr>
        <w:t xml:space="preserve"> administere</w:t>
      </w:r>
      <w:r w:rsidR="00481D6F" w:rsidRPr="00B067B4">
        <w:rPr>
          <w:szCs w:val="22"/>
        </w:rPr>
        <w:t>d</w:t>
      </w:r>
      <w:r w:rsidR="008B6852" w:rsidRPr="00B067B4">
        <w:rPr>
          <w:szCs w:val="22"/>
        </w:rPr>
        <w:t xml:space="preserve"> a</w:t>
      </w:r>
      <w:r w:rsidR="00460543">
        <w:rPr>
          <w:szCs w:val="22"/>
        </w:rPr>
        <w:t>s at</w:t>
      </w:r>
      <w:r w:rsidR="008B6852" w:rsidRPr="00B067B4">
        <w:rPr>
          <w:szCs w:val="22"/>
        </w:rPr>
        <w:t xml:space="preserve"> the end of the financial year</w:t>
      </w:r>
      <w:r w:rsidR="00A4479E" w:rsidRPr="008B6852">
        <w:rPr>
          <w:szCs w:val="22"/>
        </w:rPr>
        <w:t>.</w:t>
      </w:r>
      <w:r w:rsidR="00AA2424">
        <w:rPr>
          <w:szCs w:val="22"/>
        </w:rPr>
        <w:t xml:space="preserve"> Ho</w:t>
      </w:r>
      <w:r w:rsidR="007C3E95" w:rsidRPr="00A95D7C">
        <w:rPr>
          <w:szCs w:val="22"/>
        </w:rPr>
        <w:t>wever</w:t>
      </w:r>
      <w:r w:rsidR="00C361D9">
        <w:rPr>
          <w:szCs w:val="22"/>
        </w:rPr>
        <w:t>,</w:t>
      </w:r>
      <w:r w:rsidR="007C3E95" w:rsidRPr="00A95D7C">
        <w:rPr>
          <w:szCs w:val="22"/>
        </w:rPr>
        <w:t xml:space="preserve"> </w:t>
      </w:r>
      <w:r w:rsidR="00DB343E" w:rsidRPr="00A95D7C">
        <w:rPr>
          <w:szCs w:val="22"/>
        </w:rPr>
        <w:t>the number of</w:t>
      </w:r>
      <w:r w:rsidR="009C2399">
        <w:rPr>
          <w:szCs w:val="22"/>
        </w:rPr>
        <w:t xml:space="preserve"> grant</w:t>
      </w:r>
      <w:r w:rsidR="00DB343E" w:rsidRPr="00A95D7C">
        <w:rPr>
          <w:szCs w:val="22"/>
        </w:rPr>
        <w:t xml:space="preserve"> approvals </w:t>
      </w:r>
      <w:r w:rsidR="00C361D9" w:rsidRPr="00A95D7C">
        <w:rPr>
          <w:szCs w:val="22"/>
        </w:rPr>
        <w:t>w</w:t>
      </w:r>
      <w:r w:rsidR="00481D6F">
        <w:rPr>
          <w:szCs w:val="22"/>
        </w:rPr>
        <w:t>ere</w:t>
      </w:r>
      <w:r w:rsidR="00C361D9" w:rsidRPr="00A95D7C">
        <w:rPr>
          <w:szCs w:val="22"/>
        </w:rPr>
        <w:t xml:space="preserve"> </w:t>
      </w:r>
      <w:r w:rsidR="009C2399">
        <w:rPr>
          <w:szCs w:val="22"/>
        </w:rPr>
        <w:t xml:space="preserve">still </w:t>
      </w:r>
      <w:r w:rsidR="005870F7">
        <w:rPr>
          <w:szCs w:val="22"/>
        </w:rPr>
        <w:t xml:space="preserve">fewer than </w:t>
      </w:r>
      <w:r w:rsidR="009C544C">
        <w:rPr>
          <w:szCs w:val="22"/>
        </w:rPr>
        <w:t>forecasted</w:t>
      </w:r>
      <w:r w:rsidR="003442B5">
        <w:rPr>
          <w:szCs w:val="22"/>
        </w:rPr>
        <w:t>, with o</w:t>
      </w:r>
      <w:r w:rsidR="005870F7" w:rsidRPr="005870F7">
        <w:rPr>
          <w:szCs w:val="22"/>
        </w:rPr>
        <w:t>ur lawyers</w:t>
      </w:r>
      <w:r w:rsidR="00DC27FF">
        <w:rPr>
          <w:szCs w:val="22"/>
        </w:rPr>
        <w:t xml:space="preserve"> </w:t>
      </w:r>
      <w:r w:rsidR="005870F7" w:rsidRPr="005870F7">
        <w:rPr>
          <w:szCs w:val="22"/>
        </w:rPr>
        <w:t>observ</w:t>
      </w:r>
      <w:r w:rsidR="00211F93">
        <w:rPr>
          <w:szCs w:val="22"/>
        </w:rPr>
        <w:t>ing</w:t>
      </w:r>
      <w:r w:rsidR="005870F7" w:rsidRPr="005870F7">
        <w:rPr>
          <w:szCs w:val="22"/>
        </w:rPr>
        <w:t xml:space="preserve"> that cases are getting increasingly complex</w:t>
      </w:r>
      <w:r w:rsidR="00211F93">
        <w:rPr>
          <w:szCs w:val="22"/>
        </w:rPr>
        <w:t xml:space="preserve"> rather than </w:t>
      </w:r>
      <w:r w:rsidR="00210FA1">
        <w:rPr>
          <w:szCs w:val="22"/>
        </w:rPr>
        <w:t xml:space="preserve">there being </w:t>
      </w:r>
      <w:r w:rsidR="00211F93">
        <w:rPr>
          <w:szCs w:val="22"/>
        </w:rPr>
        <w:t xml:space="preserve">a reduction </w:t>
      </w:r>
      <w:r w:rsidR="00210FA1">
        <w:rPr>
          <w:szCs w:val="22"/>
        </w:rPr>
        <w:t xml:space="preserve">in </w:t>
      </w:r>
      <w:r w:rsidR="00211F93">
        <w:rPr>
          <w:szCs w:val="22"/>
        </w:rPr>
        <w:t xml:space="preserve">workload. </w:t>
      </w:r>
    </w:p>
    <w:p w14:paraId="27C0D57A" w14:textId="07DEBB3D" w:rsidR="009656D7" w:rsidRDefault="0085222C" w:rsidP="00212B87">
      <w:r>
        <w:t xml:space="preserve">Duty lawyer services were </w:t>
      </w:r>
      <w:r w:rsidR="00053F39">
        <w:t>seven</w:t>
      </w:r>
      <w:r>
        <w:t xml:space="preserve"> per</w:t>
      </w:r>
      <w:r w:rsidR="008542EF">
        <w:t xml:space="preserve"> </w:t>
      </w:r>
      <w:r>
        <w:t>cent higher than last quarter</w:t>
      </w:r>
      <w:r w:rsidR="00CF2242">
        <w:t xml:space="preserve">, with </w:t>
      </w:r>
      <w:r w:rsidR="00B719A0">
        <w:t xml:space="preserve">more </w:t>
      </w:r>
      <w:r w:rsidR="00141CBD">
        <w:t>duty lawyer services</w:t>
      </w:r>
      <w:r w:rsidR="00CF2242">
        <w:t xml:space="preserve"> delivered</w:t>
      </w:r>
      <w:r w:rsidR="00F136DC">
        <w:t xml:space="preserve"> as court backlogs </w:t>
      </w:r>
      <w:r w:rsidR="00631BC7">
        <w:t xml:space="preserve">were </w:t>
      </w:r>
      <w:r w:rsidR="00F136DC">
        <w:t>cleared</w:t>
      </w:r>
      <w:r w:rsidR="00CF2242">
        <w:t>. H</w:t>
      </w:r>
      <w:r w:rsidR="00ED1EB3">
        <w:t>owever, the number of services delivered w</w:t>
      </w:r>
      <w:r w:rsidR="00ED1D87">
        <w:t>as</w:t>
      </w:r>
      <w:r w:rsidR="00ED1EB3">
        <w:t xml:space="preserve"> still lower than expected</w:t>
      </w:r>
      <w:r w:rsidR="00141CBD">
        <w:t>.</w:t>
      </w:r>
      <w:r w:rsidR="00732167">
        <w:t xml:space="preserve"> We will continue to meet the demand for our services within the courts</w:t>
      </w:r>
      <w:r w:rsidR="00631BC7">
        <w:t>, however,</w:t>
      </w:r>
      <w:r w:rsidR="00ED1EB3">
        <w:t xml:space="preserve"> we</w:t>
      </w:r>
      <w:r w:rsidR="00ED1D87">
        <w:t xml:space="preserve"> are</w:t>
      </w:r>
      <w:r w:rsidR="00ED1EB3">
        <w:t xml:space="preserve"> anticipat</w:t>
      </w:r>
      <w:r w:rsidR="00ED1D87">
        <w:t>ing</w:t>
      </w:r>
      <w:r w:rsidR="00ED1EB3">
        <w:t xml:space="preserve"> that </w:t>
      </w:r>
      <w:r w:rsidR="00BD677D">
        <w:t>court activity will be</w:t>
      </w:r>
      <w:r w:rsidR="006A7B93">
        <w:t xml:space="preserve"> </w:t>
      </w:r>
      <w:r w:rsidR="00443EF9">
        <w:t xml:space="preserve">reduced in quarter one 2024-25 </w:t>
      </w:r>
      <w:r w:rsidR="00FF3CC3">
        <w:t>due to</w:t>
      </w:r>
      <w:r w:rsidR="006A7B93">
        <w:t xml:space="preserve"> external demand drivers</w:t>
      </w:r>
      <w:r w:rsidR="00F44B99">
        <w:t xml:space="preserve">. </w:t>
      </w:r>
      <w:r w:rsidR="00AC5387">
        <w:t xml:space="preserve"> </w:t>
      </w:r>
      <w:r w:rsidR="00631BC7">
        <w:t xml:space="preserve"> </w:t>
      </w:r>
    </w:p>
    <w:p w14:paraId="4F1130E0" w14:textId="5DFC9C26" w:rsidR="00066FB6" w:rsidRPr="00FB4CD0" w:rsidRDefault="00066FB6" w:rsidP="00212B87">
      <w:pPr>
        <w:rPr>
          <w:szCs w:val="22"/>
        </w:rPr>
      </w:pPr>
      <w:r w:rsidRPr="005E43D7">
        <w:rPr>
          <w:szCs w:val="22"/>
        </w:rPr>
        <w:t xml:space="preserve">Legal Advice and Minor Work Sessions </w:t>
      </w:r>
      <w:r w:rsidR="00DD7993" w:rsidRPr="005E43D7">
        <w:rPr>
          <w:szCs w:val="22"/>
        </w:rPr>
        <w:t xml:space="preserve">provided during the quarter </w:t>
      </w:r>
      <w:r w:rsidRPr="005E43D7">
        <w:rPr>
          <w:szCs w:val="22"/>
        </w:rPr>
        <w:t>w</w:t>
      </w:r>
      <w:r w:rsidR="00A95D7C" w:rsidRPr="005E43D7">
        <w:rPr>
          <w:szCs w:val="22"/>
        </w:rPr>
        <w:t>ere</w:t>
      </w:r>
      <w:r w:rsidRPr="005E43D7">
        <w:rPr>
          <w:szCs w:val="22"/>
        </w:rPr>
        <w:t xml:space="preserve"> </w:t>
      </w:r>
      <w:r w:rsidR="00C97F39">
        <w:rPr>
          <w:szCs w:val="22"/>
        </w:rPr>
        <w:t>at a similar level</w:t>
      </w:r>
      <w:r w:rsidRPr="005E43D7">
        <w:rPr>
          <w:szCs w:val="22"/>
        </w:rPr>
        <w:t xml:space="preserve"> </w:t>
      </w:r>
      <w:r w:rsidR="00C97F39">
        <w:rPr>
          <w:szCs w:val="22"/>
        </w:rPr>
        <w:t>to</w:t>
      </w:r>
      <w:r w:rsidR="00C97F39" w:rsidRPr="005E43D7">
        <w:rPr>
          <w:szCs w:val="22"/>
        </w:rPr>
        <w:t xml:space="preserve"> </w:t>
      </w:r>
      <w:r w:rsidRPr="005E43D7">
        <w:rPr>
          <w:szCs w:val="22"/>
        </w:rPr>
        <w:t>quarter</w:t>
      </w:r>
      <w:r w:rsidR="00C97F39">
        <w:rPr>
          <w:szCs w:val="22"/>
        </w:rPr>
        <w:t xml:space="preserve"> three</w:t>
      </w:r>
      <w:r w:rsidRPr="005E43D7">
        <w:rPr>
          <w:szCs w:val="22"/>
        </w:rPr>
        <w:t xml:space="preserve">. </w:t>
      </w:r>
      <w:r w:rsidR="00942310">
        <w:rPr>
          <w:szCs w:val="22"/>
        </w:rPr>
        <w:t>However, a</w:t>
      </w:r>
      <w:r w:rsidR="00CB0554" w:rsidRPr="005E43D7">
        <w:rPr>
          <w:szCs w:val="22"/>
        </w:rPr>
        <w:t xml:space="preserve">s </w:t>
      </w:r>
      <w:r w:rsidR="001F57E3" w:rsidRPr="005E43D7">
        <w:rPr>
          <w:szCs w:val="22"/>
        </w:rPr>
        <w:t>VLA</w:t>
      </w:r>
      <w:r w:rsidR="00CB0554" w:rsidRPr="005E43D7">
        <w:rPr>
          <w:szCs w:val="22"/>
        </w:rPr>
        <w:t xml:space="preserve"> continues to</w:t>
      </w:r>
      <w:r w:rsidR="001F57E3" w:rsidRPr="005E43D7">
        <w:rPr>
          <w:szCs w:val="22"/>
        </w:rPr>
        <w:t xml:space="preserve"> focus more on </w:t>
      </w:r>
      <w:r w:rsidR="007A67F6" w:rsidRPr="005E43D7">
        <w:rPr>
          <w:szCs w:val="22"/>
        </w:rPr>
        <w:t>early intervention</w:t>
      </w:r>
      <w:r w:rsidR="00165333" w:rsidRPr="005E43D7">
        <w:rPr>
          <w:szCs w:val="22"/>
        </w:rPr>
        <w:t xml:space="preserve"> work, we are expecting </w:t>
      </w:r>
      <w:r w:rsidR="00847988" w:rsidRPr="005E43D7">
        <w:rPr>
          <w:szCs w:val="22"/>
        </w:rPr>
        <w:t>to assist more clients earlier in</w:t>
      </w:r>
      <w:r w:rsidR="005E43D7" w:rsidRPr="005E43D7">
        <w:rPr>
          <w:szCs w:val="22"/>
        </w:rPr>
        <w:t xml:space="preserve"> </w:t>
      </w:r>
      <w:r w:rsidR="005E43D7" w:rsidRPr="005E43D7">
        <w:rPr>
          <w:rFonts w:eastAsia="Arial" w:cs="Arial"/>
          <w:szCs w:val="22"/>
          <w:lang w:val="en-GB"/>
        </w:rPr>
        <w:t xml:space="preserve">their legal issues </w:t>
      </w:r>
      <w:r w:rsidR="00374AF0">
        <w:rPr>
          <w:szCs w:val="22"/>
        </w:rPr>
        <w:t xml:space="preserve">in quarter one 2024-25 </w:t>
      </w:r>
      <w:r w:rsidR="005E43D7" w:rsidRPr="005E43D7">
        <w:rPr>
          <w:rFonts w:eastAsia="Arial" w:cs="Arial"/>
          <w:szCs w:val="22"/>
          <w:lang w:val="en-GB"/>
        </w:rPr>
        <w:t>to</w:t>
      </w:r>
      <w:r w:rsidR="00775546">
        <w:rPr>
          <w:rFonts w:eastAsia="Arial" w:cs="Arial"/>
          <w:szCs w:val="22"/>
          <w:lang w:val="en-GB"/>
        </w:rPr>
        <w:t xml:space="preserve"> more</w:t>
      </w:r>
      <w:r w:rsidR="005E43D7" w:rsidRPr="005E43D7">
        <w:rPr>
          <w:rFonts w:eastAsia="Arial" w:cs="Arial"/>
          <w:szCs w:val="22"/>
          <w:lang w:val="en-GB"/>
        </w:rPr>
        <w:t xml:space="preserve"> effectively and efficiently resolve </w:t>
      </w:r>
      <w:r w:rsidR="00775546">
        <w:rPr>
          <w:rFonts w:eastAsia="Arial" w:cs="Arial"/>
          <w:szCs w:val="22"/>
          <w:lang w:val="en-GB"/>
        </w:rPr>
        <w:t xml:space="preserve">their </w:t>
      </w:r>
      <w:r w:rsidR="005E43D7" w:rsidRPr="005E43D7">
        <w:rPr>
          <w:rFonts w:eastAsia="Arial" w:cs="Arial"/>
          <w:szCs w:val="22"/>
          <w:lang w:val="en-GB"/>
        </w:rPr>
        <w:t>matters.</w:t>
      </w:r>
    </w:p>
    <w:p w14:paraId="4EEA0E4F" w14:textId="77777777" w:rsidR="00212B87" w:rsidRDefault="00212B87" w:rsidP="006663C9">
      <w:pPr>
        <w:pStyle w:val="Tableheader"/>
      </w:pPr>
      <w:r w:rsidRPr="00742E79">
        <w:t xml:space="preserve">Table 1.1 </w:t>
      </w:r>
      <w:bookmarkStart w:id="1" w:name="_Hlk147494133"/>
      <w:r w:rsidRPr="00742E79">
        <w:t>Unique client count</w:t>
      </w:r>
      <w:r>
        <w:t xml:space="preserve"> and services</w:t>
      </w:r>
      <w:bookmarkEnd w:id="1"/>
    </w:p>
    <w:tbl>
      <w:tblPr>
        <w:tblW w:w="9855" w:type="dxa"/>
        <w:tblLook w:val="04A0" w:firstRow="1" w:lastRow="0" w:firstColumn="1" w:lastColumn="0" w:noHBand="0" w:noVBand="1"/>
      </w:tblPr>
      <w:tblGrid>
        <w:gridCol w:w="4422"/>
        <w:gridCol w:w="1811"/>
        <w:gridCol w:w="1811"/>
        <w:gridCol w:w="1811"/>
      </w:tblGrid>
      <w:tr w:rsidR="00212B87" w:rsidRPr="003A7C01" w14:paraId="4E79EC1A" w14:textId="77777777" w:rsidTr="0B2DEDFC">
        <w:trPr>
          <w:trHeight w:val="322"/>
        </w:trPr>
        <w:tc>
          <w:tcPr>
            <w:tcW w:w="4422" w:type="dxa"/>
            <w:vMerge w:val="restart"/>
            <w:tcBorders>
              <w:top w:val="single" w:sz="4" w:space="0" w:color="auto"/>
              <w:left w:val="single" w:sz="4" w:space="0" w:color="auto"/>
              <w:bottom w:val="single" w:sz="4" w:space="0" w:color="auto"/>
              <w:right w:val="single" w:sz="4" w:space="0" w:color="auto"/>
            </w:tcBorders>
            <w:shd w:val="clear" w:color="auto" w:fill="B59CC0"/>
            <w:vAlign w:val="center"/>
            <w:hideMark/>
          </w:tcPr>
          <w:p w14:paraId="0433D4B4" w14:textId="77777777" w:rsidR="00212B87" w:rsidRPr="003A7C01" w:rsidRDefault="00212B87" w:rsidP="00417688">
            <w:pPr>
              <w:rPr>
                <w:rFonts w:cs="Arial"/>
                <w:b/>
                <w:bCs/>
                <w:color w:val="000000"/>
                <w:szCs w:val="22"/>
                <w:lang w:eastAsia="zh-CN" w:bidi="th-TH"/>
              </w:rPr>
            </w:pPr>
            <w:r w:rsidRPr="003A7C01">
              <w:rPr>
                <w:rFonts w:cs="Arial"/>
                <w:b/>
                <w:bCs/>
                <w:color w:val="000000"/>
                <w:szCs w:val="22"/>
                <w:lang w:eastAsia="zh-CN" w:bidi="th-TH"/>
              </w:rPr>
              <w:t>Clients and Client Services </w:t>
            </w:r>
          </w:p>
        </w:tc>
        <w:tc>
          <w:tcPr>
            <w:tcW w:w="1811" w:type="dxa"/>
            <w:tcBorders>
              <w:top w:val="single" w:sz="4" w:space="0" w:color="auto"/>
              <w:left w:val="single" w:sz="4" w:space="0" w:color="auto"/>
              <w:bottom w:val="nil"/>
              <w:right w:val="single" w:sz="4" w:space="0" w:color="auto"/>
            </w:tcBorders>
            <w:shd w:val="clear" w:color="auto" w:fill="B59CC0"/>
            <w:vAlign w:val="center"/>
            <w:hideMark/>
          </w:tcPr>
          <w:p w14:paraId="5373B55C" w14:textId="3574A11D"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BDFE63D" w:rsidRPr="0B2DEDFC">
              <w:rPr>
                <w:rFonts w:cs="Arial"/>
                <w:b/>
                <w:bCs/>
                <w:color w:val="000000" w:themeColor="text1"/>
                <w:lang w:eastAsia="zh-CN" w:bidi="th-TH"/>
              </w:rPr>
              <w:t>3</w:t>
            </w:r>
          </w:p>
        </w:tc>
        <w:tc>
          <w:tcPr>
            <w:tcW w:w="1811" w:type="dxa"/>
            <w:tcBorders>
              <w:top w:val="single" w:sz="4" w:space="0" w:color="auto"/>
              <w:left w:val="nil"/>
              <w:bottom w:val="nil"/>
              <w:right w:val="single" w:sz="4" w:space="0" w:color="auto"/>
            </w:tcBorders>
            <w:shd w:val="clear" w:color="auto" w:fill="B59CC0"/>
            <w:vAlign w:val="center"/>
            <w:hideMark/>
          </w:tcPr>
          <w:p w14:paraId="19017E90" w14:textId="34CB0F61"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7490FB63" w:rsidRPr="0B2DEDFC">
              <w:rPr>
                <w:rFonts w:cs="Arial"/>
                <w:b/>
                <w:bCs/>
                <w:color w:val="000000" w:themeColor="text1"/>
                <w:lang w:eastAsia="zh-CN" w:bidi="th-TH"/>
              </w:rPr>
              <w:t>4</w:t>
            </w:r>
          </w:p>
        </w:tc>
        <w:tc>
          <w:tcPr>
            <w:tcW w:w="1811" w:type="dxa"/>
            <w:tcBorders>
              <w:top w:val="single" w:sz="4" w:space="0" w:color="auto"/>
              <w:left w:val="nil"/>
              <w:bottom w:val="nil"/>
              <w:right w:val="single" w:sz="4" w:space="0" w:color="auto"/>
            </w:tcBorders>
            <w:shd w:val="clear" w:color="auto" w:fill="B59CC0"/>
            <w:vAlign w:val="center"/>
            <w:hideMark/>
          </w:tcPr>
          <w:p w14:paraId="6961229E" w14:textId="368EBE9B"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58C67386" w:rsidRPr="0B2DEDFC">
              <w:rPr>
                <w:rFonts w:cs="Arial"/>
                <w:b/>
                <w:bCs/>
                <w:color w:val="000000" w:themeColor="text1"/>
                <w:lang w:eastAsia="zh-CN" w:bidi="th-TH"/>
              </w:rPr>
              <w:t>1</w:t>
            </w:r>
            <w:r w:rsidRPr="0B2DEDFC">
              <w:rPr>
                <w:rFonts w:cs="Arial"/>
                <w:b/>
                <w:bCs/>
                <w:color w:val="000000" w:themeColor="text1"/>
                <w:lang w:eastAsia="zh-CN" w:bidi="th-TH"/>
              </w:rPr>
              <w:t xml:space="preserve"> 202</w:t>
            </w:r>
            <w:r w:rsidR="36C44A5F" w:rsidRPr="0B2DEDFC">
              <w:rPr>
                <w:rFonts w:cs="Arial"/>
                <w:b/>
                <w:bCs/>
                <w:color w:val="000000" w:themeColor="text1"/>
                <w:lang w:eastAsia="zh-CN" w:bidi="th-TH"/>
              </w:rPr>
              <w:t>4</w:t>
            </w:r>
            <w:r w:rsidR="00C82810">
              <w:rPr>
                <w:rFonts w:cs="Arial"/>
                <w:b/>
                <w:bCs/>
                <w:color w:val="000000" w:themeColor="text1"/>
                <w:lang w:eastAsia="zh-CN" w:bidi="th-TH"/>
              </w:rPr>
              <w:t>–</w:t>
            </w:r>
            <w:r w:rsidR="00E53295" w:rsidRPr="0B2DEDFC">
              <w:rPr>
                <w:rFonts w:cs="Arial"/>
                <w:b/>
                <w:bCs/>
                <w:color w:val="000000" w:themeColor="text1"/>
                <w:lang w:eastAsia="zh-CN" w:bidi="th-TH"/>
              </w:rPr>
              <w:t>2</w:t>
            </w:r>
            <w:r w:rsidR="00E53295">
              <w:rPr>
                <w:rFonts w:cs="Arial"/>
                <w:b/>
                <w:bCs/>
                <w:color w:val="000000" w:themeColor="text1"/>
                <w:lang w:eastAsia="zh-CN" w:bidi="th-TH"/>
              </w:rPr>
              <w:t>5</w:t>
            </w:r>
          </w:p>
        </w:tc>
      </w:tr>
      <w:tr w:rsidR="00212B87" w:rsidRPr="003A7C01" w14:paraId="1BFC2BEA" w14:textId="77777777" w:rsidTr="0B2DEDFC">
        <w:trPr>
          <w:trHeight w:val="322"/>
        </w:trPr>
        <w:tc>
          <w:tcPr>
            <w:tcW w:w="4422" w:type="dxa"/>
            <w:vMerge/>
            <w:vAlign w:val="center"/>
            <w:hideMark/>
          </w:tcPr>
          <w:p w14:paraId="36638015" w14:textId="77777777" w:rsidR="00212B87" w:rsidRPr="003A7C01" w:rsidRDefault="00212B87" w:rsidP="00417688">
            <w:pPr>
              <w:spacing w:after="0" w:line="240" w:lineRule="auto"/>
              <w:rPr>
                <w:rFonts w:cs="Arial"/>
                <w:b/>
                <w:bCs/>
                <w:color w:val="000000"/>
                <w:szCs w:val="22"/>
                <w:lang w:eastAsia="zh-CN" w:bidi="th-TH"/>
              </w:rPr>
            </w:pPr>
          </w:p>
        </w:tc>
        <w:tc>
          <w:tcPr>
            <w:tcW w:w="1811" w:type="dxa"/>
            <w:tcBorders>
              <w:top w:val="nil"/>
              <w:left w:val="single" w:sz="4" w:space="0" w:color="auto"/>
              <w:bottom w:val="single" w:sz="4" w:space="0" w:color="auto"/>
              <w:right w:val="single" w:sz="4" w:space="0" w:color="auto"/>
            </w:tcBorders>
            <w:shd w:val="clear" w:color="auto" w:fill="B59CC0"/>
            <w:vAlign w:val="center"/>
            <w:hideMark/>
          </w:tcPr>
          <w:p w14:paraId="223568EB" w14:textId="6253CC1A" w:rsidR="00212B87" w:rsidRPr="003A7C01" w:rsidRDefault="00212B87"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2023-24 </w:t>
            </w:r>
          </w:p>
        </w:tc>
        <w:tc>
          <w:tcPr>
            <w:tcW w:w="1811" w:type="dxa"/>
            <w:tcBorders>
              <w:top w:val="nil"/>
              <w:left w:val="nil"/>
              <w:bottom w:val="single" w:sz="4" w:space="0" w:color="auto"/>
              <w:right w:val="single" w:sz="4" w:space="0" w:color="auto"/>
            </w:tcBorders>
            <w:shd w:val="clear" w:color="auto" w:fill="B59CC0"/>
            <w:vAlign w:val="center"/>
            <w:hideMark/>
          </w:tcPr>
          <w:p w14:paraId="7606B731"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11" w:type="dxa"/>
            <w:tcBorders>
              <w:top w:val="nil"/>
              <w:left w:val="nil"/>
              <w:bottom w:val="single" w:sz="4" w:space="0" w:color="auto"/>
              <w:right w:val="single" w:sz="4" w:space="0" w:color="auto"/>
            </w:tcBorders>
            <w:shd w:val="clear" w:color="auto" w:fill="B59CC0"/>
            <w:vAlign w:val="center"/>
            <w:hideMark/>
          </w:tcPr>
          <w:p w14:paraId="7AAEB900" w14:textId="77777777" w:rsidR="00212B87" w:rsidRPr="003A7C01" w:rsidRDefault="00212B87"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212B87" w:rsidRPr="003A7C01" w14:paraId="4F5BD51D" w14:textId="77777777" w:rsidTr="0B2DEDFC">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342D6DAD"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Unique Clients</w:t>
            </w:r>
            <w:r w:rsidRPr="003A7C01">
              <w:rPr>
                <w:rFonts w:cs="Arial"/>
                <w:color w:val="000000"/>
                <w:szCs w:val="22"/>
                <w:vertAlign w:val="superscript"/>
                <w:lang w:eastAsia="zh-CN" w:bidi="th-TH"/>
              </w:rPr>
              <w:t xml:space="preserve">1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35B0A981"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16,760</w:t>
            </w:r>
          </w:p>
        </w:tc>
        <w:tc>
          <w:tcPr>
            <w:tcW w:w="18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AD6765E" w14:textId="16D302D4" w:rsidR="00212B87" w:rsidRPr="003A7C01" w:rsidRDefault="605392AD" w:rsidP="0B2DEDFC">
            <w:pPr>
              <w:spacing w:after="0" w:line="240" w:lineRule="auto"/>
              <w:jc w:val="center"/>
              <w:rPr>
                <w:rFonts w:cs="Arial"/>
                <w:color w:val="000000"/>
                <w:lang w:eastAsia="zh-CN" w:bidi="th-TH"/>
              </w:rPr>
            </w:pPr>
            <w:r w:rsidRPr="0B2DEDFC">
              <w:rPr>
                <w:rFonts w:cs="Arial"/>
                <w:color w:val="000000" w:themeColor="text1"/>
                <w:lang w:eastAsia="zh-CN" w:bidi="th-TH"/>
              </w:rPr>
              <w:t>14,963</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6087A899" w14:textId="39AE52C0" w:rsidR="00212B87" w:rsidRPr="003A7C01" w:rsidRDefault="00066FB6" w:rsidP="0B2DEDFC">
            <w:pPr>
              <w:spacing w:after="0" w:line="240" w:lineRule="auto"/>
              <w:jc w:val="center"/>
              <w:rPr>
                <w:rFonts w:cs="Arial"/>
                <w:color w:val="000000"/>
                <w:lang w:eastAsia="zh-CN" w:bidi="th-TH"/>
              </w:rPr>
            </w:pPr>
            <w:r>
              <w:rPr>
                <w:rFonts w:cs="Arial"/>
                <w:color w:val="000000"/>
                <w:lang w:eastAsia="zh-CN" w:bidi="th-TH"/>
              </w:rPr>
              <w:t>32,029</w:t>
            </w:r>
          </w:p>
        </w:tc>
      </w:tr>
      <w:tr w:rsidR="00212B87" w:rsidRPr="003A7C01" w14:paraId="277228E1" w14:textId="77777777" w:rsidTr="0B2DEDFC">
        <w:trPr>
          <w:trHeight w:val="820"/>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110BAA15" w14:textId="391B3BE9"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Legal Advice and Minor Work </w:t>
            </w:r>
            <w:r w:rsidR="00066FB6">
              <w:rPr>
                <w:rFonts w:cs="Arial"/>
                <w:color w:val="000000"/>
                <w:szCs w:val="22"/>
                <w:lang w:eastAsia="zh-CN" w:bidi="th-TH"/>
              </w:rPr>
              <w:t>S</w:t>
            </w:r>
            <w:r w:rsidRPr="003A7C01">
              <w:rPr>
                <w:rFonts w:cs="Arial"/>
                <w:color w:val="000000"/>
                <w:szCs w:val="22"/>
                <w:lang w:eastAsia="zh-CN" w:bidi="th-TH"/>
              </w:rPr>
              <w:t>essions  </w:t>
            </w:r>
          </w:p>
        </w:tc>
        <w:tc>
          <w:tcPr>
            <w:tcW w:w="1811" w:type="dxa"/>
            <w:tcBorders>
              <w:top w:val="nil"/>
              <w:left w:val="nil"/>
              <w:bottom w:val="single" w:sz="4" w:space="0" w:color="auto"/>
              <w:right w:val="single" w:sz="4" w:space="0" w:color="auto"/>
            </w:tcBorders>
            <w:shd w:val="clear" w:color="auto" w:fill="auto"/>
            <w:vAlign w:val="center"/>
            <w:hideMark/>
          </w:tcPr>
          <w:p w14:paraId="65814C25"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8,981</w:t>
            </w:r>
          </w:p>
        </w:tc>
        <w:tc>
          <w:tcPr>
            <w:tcW w:w="1811" w:type="dxa"/>
            <w:tcBorders>
              <w:top w:val="nil"/>
              <w:left w:val="nil"/>
              <w:bottom w:val="single" w:sz="4" w:space="0" w:color="auto"/>
              <w:right w:val="single" w:sz="4" w:space="0" w:color="auto"/>
            </w:tcBorders>
            <w:shd w:val="clear" w:color="auto" w:fill="D0CECE" w:themeFill="background2" w:themeFillShade="E6"/>
            <w:vAlign w:val="center"/>
            <w:hideMark/>
          </w:tcPr>
          <w:p w14:paraId="1DB0781F" w14:textId="41DF957E" w:rsidR="00212B87" w:rsidRPr="003A7C01" w:rsidRDefault="1B9C8903" w:rsidP="0B2DEDFC">
            <w:pPr>
              <w:spacing w:after="0" w:line="240" w:lineRule="auto"/>
              <w:jc w:val="center"/>
              <w:rPr>
                <w:rFonts w:cs="Arial"/>
                <w:color w:val="000000"/>
                <w:lang w:eastAsia="zh-CN" w:bidi="th-TH"/>
              </w:rPr>
            </w:pPr>
            <w:r w:rsidRPr="0B2DEDFC">
              <w:rPr>
                <w:rFonts w:cs="Arial"/>
                <w:color w:val="000000" w:themeColor="text1"/>
                <w:lang w:eastAsia="zh-CN" w:bidi="th-TH"/>
              </w:rPr>
              <w:t>8,925</w:t>
            </w:r>
          </w:p>
        </w:tc>
        <w:tc>
          <w:tcPr>
            <w:tcW w:w="1811" w:type="dxa"/>
            <w:tcBorders>
              <w:top w:val="nil"/>
              <w:left w:val="nil"/>
              <w:bottom w:val="single" w:sz="4" w:space="0" w:color="auto"/>
              <w:right w:val="single" w:sz="4" w:space="0" w:color="auto"/>
            </w:tcBorders>
            <w:shd w:val="clear" w:color="auto" w:fill="auto"/>
            <w:vAlign w:val="center"/>
            <w:hideMark/>
          </w:tcPr>
          <w:p w14:paraId="15FD09EB" w14:textId="23585BF7" w:rsidR="00212B87" w:rsidRPr="003A7C01" w:rsidRDefault="00EB2249" w:rsidP="0B2DEDFC">
            <w:pPr>
              <w:spacing w:after="0" w:line="240" w:lineRule="auto"/>
              <w:jc w:val="center"/>
              <w:rPr>
                <w:rFonts w:cs="Arial"/>
                <w:color w:val="000000"/>
                <w:lang w:eastAsia="zh-CN" w:bidi="th-TH"/>
              </w:rPr>
            </w:pPr>
            <w:r>
              <w:rPr>
                <w:rFonts w:cs="Arial"/>
                <w:color w:val="000000"/>
                <w:lang w:eastAsia="zh-CN" w:bidi="th-TH"/>
              </w:rPr>
              <w:t>10,661</w:t>
            </w:r>
          </w:p>
        </w:tc>
      </w:tr>
      <w:tr w:rsidR="00212B87" w:rsidRPr="003A7C01" w14:paraId="0E902E79" w14:textId="77777777" w:rsidTr="0B2DEDFC">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61971588" w14:textId="1DB8FEBB" w:rsidR="00212B87" w:rsidRPr="003A7C01" w:rsidRDefault="00212B87" w:rsidP="0B2DEDFC">
            <w:pPr>
              <w:spacing w:after="0" w:line="240" w:lineRule="auto"/>
              <w:rPr>
                <w:rFonts w:cs="Arial"/>
                <w:color w:val="000000"/>
                <w:lang w:eastAsia="zh-CN" w:bidi="th-TH"/>
              </w:rPr>
            </w:pPr>
            <w:r w:rsidRPr="0B2DEDFC">
              <w:rPr>
                <w:rFonts w:cs="Arial"/>
                <w:color w:val="000000" w:themeColor="text1"/>
                <w:lang w:eastAsia="zh-CN" w:bidi="th-TH"/>
              </w:rPr>
              <w:t>Duty Lawyer Services</w:t>
            </w:r>
          </w:p>
        </w:tc>
        <w:tc>
          <w:tcPr>
            <w:tcW w:w="1811" w:type="dxa"/>
            <w:tcBorders>
              <w:top w:val="nil"/>
              <w:left w:val="nil"/>
              <w:bottom w:val="single" w:sz="4" w:space="0" w:color="auto"/>
              <w:right w:val="single" w:sz="4" w:space="0" w:color="auto"/>
            </w:tcBorders>
            <w:shd w:val="clear" w:color="auto" w:fill="auto"/>
            <w:vAlign w:val="center"/>
            <w:hideMark/>
          </w:tcPr>
          <w:p w14:paraId="55ADB450"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22,406</w:t>
            </w:r>
          </w:p>
        </w:tc>
        <w:tc>
          <w:tcPr>
            <w:tcW w:w="1811" w:type="dxa"/>
            <w:tcBorders>
              <w:top w:val="nil"/>
              <w:left w:val="nil"/>
              <w:bottom w:val="single" w:sz="4" w:space="0" w:color="auto"/>
              <w:right w:val="single" w:sz="4" w:space="0" w:color="auto"/>
            </w:tcBorders>
            <w:shd w:val="clear" w:color="auto" w:fill="D0CECE" w:themeFill="background2" w:themeFillShade="E6"/>
            <w:vAlign w:val="center"/>
            <w:hideMark/>
          </w:tcPr>
          <w:p w14:paraId="39EB8FFB" w14:textId="6BF5D56F" w:rsidR="00212B87" w:rsidRPr="003A7C01" w:rsidRDefault="593AD934" w:rsidP="0B2DEDFC">
            <w:pPr>
              <w:spacing w:after="0" w:line="240" w:lineRule="auto"/>
              <w:jc w:val="center"/>
              <w:rPr>
                <w:rFonts w:cs="Arial"/>
                <w:color w:val="000000"/>
                <w:lang w:eastAsia="zh-CN" w:bidi="th-TH"/>
              </w:rPr>
            </w:pPr>
            <w:r w:rsidRPr="0B2DEDFC">
              <w:rPr>
                <w:rFonts w:cs="Arial"/>
                <w:color w:val="000000" w:themeColor="text1"/>
                <w:lang w:eastAsia="zh-CN" w:bidi="th-TH"/>
              </w:rPr>
              <w:t>23,943</w:t>
            </w:r>
          </w:p>
        </w:tc>
        <w:tc>
          <w:tcPr>
            <w:tcW w:w="1811" w:type="dxa"/>
            <w:tcBorders>
              <w:top w:val="nil"/>
              <w:left w:val="nil"/>
              <w:bottom w:val="single" w:sz="4" w:space="0" w:color="auto"/>
              <w:right w:val="single" w:sz="4" w:space="0" w:color="auto"/>
            </w:tcBorders>
            <w:shd w:val="clear" w:color="auto" w:fill="auto"/>
            <w:vAlign w:val="center"/>
            <w:hideMark/>
          </w:tcPr>
          <w:p w14:paraId="1CFF709E" w14:textId="0C506BD7" w:rsidR="00212B87" w:rsidRPr="003A7C01" w:rsidRDefault="00EB2249" w:rsidP="0B2DEDFC">
            <w:pPr>
              <w:spacing w:after="0" w:line="240" w:lineRule="auto"/>
              <w:jc w:val="center"/>
              <w:rPr>
                <w:rFonts w:cs="Arial"/>
                <w:color w:val="000000"/>
                <w:lang w:eastAsia="zh-CN" w:bidi="th-TH"/>
              </w:rPr>
            </w:pPr>
            <w:r>
              <w:rPr>
                <w:rFonts w:cs="Arial"/>
                <w:color w:val="000000"/>
                <w:lang w:eastAsia="zh-CN" w:bidi="th-TH"/>
              </w:rPr>
              <w:t>22,118</w:t>
            </w:r>
          </w:p>
        </w:tc>
      </w:tr>
      <w:tr w:rsidR="00212B87" w:rsidRPr="003A7C01" w14:paraId="3329506D" w14:textId="77777777" w:rsidTr="0B2DEDFC">
        <w:trPr>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4C539FF6" w14:textId="77777777" w:rsidR="00212B87" w:rsidRPr="003A7C01" w:rsidRDefault="00212B87" w:rsidP="00417688">
            <w:pPr>
              <w:spacing w:after="0" w:line="240" w:lineRule="auto"/>
              <w:rPr>
                <w:rFonts w:cs="Arial"/>
                <w:color w:val="000000"/>
                <w:szCs w:val="22"/>
                <w:lang w:eastAsia="zh-CN" w:bidi="th-TH"/>
              </w:rPr>
            </w:pPr>
            <w:r w:rsidRPr="003A7C01">
              <w:rPr>
                <w:rFonts w:cs="Arial"/>
                <w:color w:val="000000"/>
                <w:szCs w:val="22"/>
                <w:lang w:eastAsia="zh-CN" w:bidi="th-TH"/>
              </w:rPr>
              <w:t>Grants of Legal Assistance </w:t>
            </w:r>
          </w:p>
        </w:tc>
        <w:tc>
          <w:tcPr>
            <w:tcW w:w="1811" w:type="dxa"/>
            <w:tcBorders>
              <w:top w:val="nil"/>
              <w:left w:val="nil"/>
              <w:bottom w:val="single" w:sz="4" w:space="0" w:color="auto"/>
              <w:right w:val="single" w:sz="4" w:space="0" w:color="auto"/>
            </w:tcBorders>
            <w:shd w:val="clear" w:color="auto" w:fill="auto"/>
            <w:vAlign w:val="center"/>
            <w:hideMark/>
          </w:tcPr>
          <w:p w14:paraId="14349D1C"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9,873</w:t>
            </w:r>
          </w:p>
        </w:tc>
        <w:tc>
          <w:tcPr>
            <w:tcW w:w="1811" w:type="dxa"/>
            <w:tcBorders>
              <w:top w:val="nil"/>
              <w:left w:val="nil"/>
              <w:bottom w:val="single" w:sz="4" w:space="0" w:color="auto"/>
              <w:right w:val="single" w:sz="4" w:space="0" w:color="auto"/>
            </w:tcBorders>
            <w:shd w:val="clear" w:color="auto" w:fill="D0CECE" w:themeFill="background2" w:themeFillShade="E6"/>
            <w:vAlign w:val="center"/>
            <w:hideMark/>
          </w:tcPr>
          <w:p w14:paraId="2B8C5012" w14:textId="413BB04B" w:rsidR="00212B87" w:rsidRPr="003A7C01" w:rsidRDefault="200500B3" w:rsidP="0B2DEDFC">
            <w:pPr>
              <w:spacing w:after="0" w:line="240" w:lineRule="auto"/>
              <w:jc w:val="center"/>
              <w:rPr>
                <w:rFonts w:cs="Arial"/>
                <w:color w:val="000000"/>
                <w:lang w:eastAsia="zh-CN" w:bidi="th-TH"/>
              </w:rPr>
            </w:pPr>
            <w:r w:rsidRPr="0B2DEDFC">
              <w:rPr>
                <w:rFonts w:cs="Arial"/>
                <w:color w:val="000000" w:themeColor="text1"/>
                <w:lang w:eastAsia="zh-CN" w:bidi="th-TH"/>
              </w:rPr>
              <w:t>10,480</w:t>
            </w:r>
          </w:p>
        </w:tc>
        <w:tc>
          <w:tcPr>
            <w:tcW w:w="1811" w:type="dxa"/>
            <w:tcBorders>
              <w:top w:val="nil"/>
              <w:left w:val="nil"/>
              <w:bottom w:val="single" w:sz="4" w:space="0" w:color="auto"/>
              <w:right w:val="single" w:sz="4" w:space="0" w:color="auto"/>
            </w:tcBorders>
            <w:shd w:val="clear" w:color="auto" w:fill="auto"/>
            <w:vAlign w:val="center"/>
            <w:hideMark/>
          </w:tcPr>
          <w:p w14:paraId="40E88454" w14:textId="4C0FDE39" w:rsidR="00212B87" w:rsidRPr="003A7C01" w:rsidRDefault="00EB2249" w:rsidP="0B2DEDFC">
            <w:pPr>
              <w:spacing w:after="0" w:line="240" w:lineRule="auto"/>
              <w:jc w:val="center"/>
              <w:rPr>
                <w:rFonts w:cs="Arial"/>
                <w:color w:val="000000"/>
                <w:lang w:eastAsia="zh-CN" w:bidi="th-TH"/>
              </w:rPr>
            </w:pPr>
            <w:r>
              <w:rPr>
                <w:rFonts w:cs="Arial"/>
                <w:color w:val="000000"/>
                <w:lang w:eastAsia="zh-CN" w:bidi="th-TH"/>
              </w:rPr>
              <w:t>10,641</w:t>
            </w:r>
          </w:p>
        </w:tc>
      </w:tr>
    </w:tbl>
    <w:p w14:paraId="4FCD58BA" w14:textId="77777777" w:rsidR="007D0510" w:rsidRDefault="007D0510" w:rsidP="007D0510">
      <w:pPr>
        <w:pStyle w:val="FootnoteText"/>
      </w:pPr>
    </w:p>
    <w:p w14:paraId="22268069" w14:textId="63EABD80" w:rsidR="00212B87" w:rsidRDefault="00212B87" w:rsidP="00212B87">
      <w:pPr>
        <w:pStyle w:val="FootnoteText"/>
        <w:ind w:left="142" w:hanging="142"/>
      </w:pPr>
      <w:r>
        <w:rPr>
          <w:rStyle w:val="FootnoteReference"/>
        </w:rPr>
        <w:footnoteRef/>
      </w:r>
      <w:r>
        <w:tab/>
        <w:t>A unique client is an individual who has accessed one or more of our legal services and with whom a client-lawyer relationship was formed. We count our unique clients the first time we see them in the</w:t>
      </w:r>
      <w:r w:rsidR="00746220">
        <w:t xml:space="preserve"> financial</w:t>
      </w:r>
      <w:r>
        <w:t xml:space="preserve"> year. This definition does not include those clients who received information over the phone or via our online web chat (Legal Help), from our website, in person at a court counter, or those who attended one of our community legal education sessions. </w:t>
      </w:r>
    </w:p>
    <w:p w14:paraId="1A3F037D" w14:textId="77777777" w:rsidR="00212B87" w:rsidRDefault="00212B87" w:rsidP="00212B87">
      <w:pPr>
        <w:pStyle w:val="FootnoteText"/>
        <w:ind w:left="142" w:hanging="142"/>
      </w:pPr>
    </w:p>
    <w:p w14:paraId="22210E04" w14:textId="79B2B57B" w:rsidR="00212B87" w:rsidRPr="00B067B4" w:rsidRDefault="00212B87" w:rsidP="006663C9">
      <w:pPr>
        <w:pStyle w:val="Heading2"/>
      </w:pPr>
      <w:r w:rsidRPr="00B067B4">
        <w:lastRenderedPageBreak/>
        <w:t xml:space="preserve">Community </w:t>
      </w:r>
      <w:r w:rsidR="001710EE" w:rsidRPr="00B067B4">
        <w:t>services</w:t>
      </w:r>
    </w:p>
    <w:p w14:paraId="6521243A" w14:textId="62CAFBA0" w:rsidR="004665D1" w:rsidRPr="004665D1" w:rsidRDefault="004665D1" w:rsidP="006663C9">
      <w:pPr>
        <w:pStyle w:val="Heading2"/>
      </w:pPr>
      <w:r w:rsidRPr="004665D1">
        <w:t>Community information and education services</w:t>
      </w:r>
    </w:p>
    <w:p w14:paraId="0F07D762" w14:textId="2219222E" w:rsidR="00ED0806" w:rsidRDefault="005870F7" w:rsidP="005870F7">
      <w:r w:rsidRPr="005870F7">
        <w:t>In 2023–24, our Legal Help phone line and webchat remained key entry points for Victorians seeking legal assistance.</w:t>
      </w:r>
      <w:r>
        <w:t xml:space="preserve"> </w:t>
      </w:r>
      <w:r w:rsidR="00212B87" w:rsidRPr="006247D1">
        <w:t>The number of Legal Help sessions d</w:t>
      </w:r>
      <w:r w:rsidR="16BAA111" w:rsidRPr="006247D1">
        <w:t>ecreased</w:t>
      </w:r>
      <w:r w:rsidR="00212B87" w:rsidRPr="006247D1">
        <w:t xml:space="preserve"> </w:t>
      </w:r>
      <w:r w:rsidR="00625E04" w:rsidRPr="006247D1">
        <w:t>by 11 per</w:t>
      </w:r>
      <w:r w:rsidR="004E2729">
        <w:t xml:space="preserve"> </w:t>
      </w:r>
      <w:r w:rsidR="00625E04" w:rsidRPr="006247D1">
        <w:t>cent</w:t>
      </w:r>
      <w:r w:rsidR="00A23E3D" w:rsidRPr="006247D1">
        <w:t xml:space="preserve"> from last quarter</w:t>
      </w:r>
      <w:r w:rsidR="00971218" w:rsidRPr="006247D1">
        <w:t>, with the combined</w:t>
      </w:r>
      <w:r w:rsidR="00212B87" w:rsidRPr="006247D1">
        <w:t xml:space="preserve"> wait time</w:t>
      </w:r>
      <w:r w:rsidR="00971218" w:rsidRPr="006247D1">
        <w:t xml:space="preserve"> also</w:t>
      </w:r>
      <w:r w:rsidR="00BC562F" w:rsidRPr="006247D1">
        <w:t xml:space="preserve"> </w:t>
      </w:r>
      <w:r w:rsidR="00AF4EE4" w:rsidRPr="006247D1">
        <w:t>slightly</w:t>
      </w:r>
      <w:r w:rsidR="00493997" w:rsidRPr="006247D1">
        <w:t xml:space="preserve"> increasing</w:t>
      </w:r>
      <w:r w:rsidR="00AF4EE4" w:rsidRPr="006247D1">
        <w:t xml:space="preserve"> by 1:30 minutes</w:t>
      </w:r>
      <w:r w:rsidR="00971218" w:rsidRPr="006247D1">
        <w:t xml:space="preserve"> (Table 1.2)</w:t>
      </w:r>
      <w:r w:rsidR="00562642">
        <w:t xml:space="preserve"> but </w:t>
      </w:r>
      <w:r w:rsidR="007A6CEF">
        <w:t xml:space="preserve">still meeting </w:t>
      </w:r>
      <w:r w:rsidR="00562642">
        <w:t>our external performance target</w:t>
      </w:r>
      <w:r w:rsidR="00971218" w:rsidRPr="006247D1">
        <w:t>.</w:t>
      </w:r>
      <w:r w:rsidR="00C417C3" w:rsidRPr="006247D1">
        <w:t xml:space="preserve"> </w:t>
      </w:r>
      <w:r>
        <w:t xml:space="preserve">This was due to continued </w:t>
      </w:r>
      <w:r w:rsidR="00D203EA">
        <w:t>short-term</w:t>
      </w:r>
      <w:r>
        <w:t xml:space="preserve"> work to modernise </w:t>
      </w:r>
      <w:r w:rsidR="00280EEA">
        <w:t>our</w:t>
      </w:r>
      <w:r>
        <w:t xml:space="preserve"> Legal Help</w:t>
      </w:r>
      <w:r w:rsidR="00280EEA">
        <w:t xml:space="preserve"> service</w:t>
      </w:r>
      <w:r>
        <w:t xml:space="preserve"> to make it easier to reach us and to respond better to people who need assistance the most. </w:t>
      </w:r>
      <w:r w:rsidR="0094735D">
        <w:t>For instance, w</w:t>
      </w:r>
      <w:r>
        <w:t>e designed and ran a trial service to provide legal advice by webchat to people experiencing or using family violence. The trial’s evaluation showed a high level of satisfaction, with clients telling us that they found the service safer, easier to use, more convenient and more useful than receiving advice by phone or in person. The evaluation also showed that the service supported a higher proportion of women and people from culturally diverse backgrounds than our phone advice service.</w:t>
      </w:r>
      <w:r w:rsidR="00A67040">
        <w:t xml:space="preserve"> </w:t>
      </w:r>
    </w:p>
    <w:p w14:paraId="142CFB90" w14:textId="4AFC80C2" w:rsidR="005870F7" w:rsidRDefault="005870F7" w:rsidP="005870F7">
      <w:r>
        <w:t>Outside of Legal Help, we also delivered 7,4</w:t>
      </w:r>
      <w:r w:rsidR="00946F7C">
        <w:t>2</w:t>
      </w:r>
      <w:r>
        <w:t>4 information sessions (11 per cent more than in 2022</w:t>
      </w:r>
      <w:r w:rsidR="00D453E4">
        <w:noBreakHyphen/>
      </w:r>
      <w:r>
        <w:t>23). These were mainly provided face-to-face at our offices or through Help Before Court.</w:t>
      </w:r>
    </w:p>
    <w:p w14:paraId="2A5B7FF1" w14:textId="12D500EE" w:rsidR="00A14427" w:rsidRPr="00292C3E" w:rsidRDefault="007356DB" w:rsidP="00F87941">
      <w:bookmarkStart w:id="2" w:name="_Hlk164245268"/>
      <w:r>
        <w:t>VLA</w:t>
      </w:r>
      <w:r w:rsidRPr="00F87941">
        <w:t xml:space="preserve"> </w:t>
      </w:r>
      <w:r w:rsidR="00212B87" w:rsidRPr="00F87941">
        <w:t xml:space="preserve">provided </w:t>
      </w:r>
      <w:r w:rsidR="01E7B1A2" w:rsidRPr="00F87941">
        <w:t>84</w:t>
      </w:r>
      <w:r w:rsidR="00733C20" w:rsidRPr="00F87941">
        <w:t xml:space="preserve"> </w:t>
      </w:r>
      <w:r w:rsidR="00212B87" w:rsidRPr="00F87941">
        <w:t>Community Legal Education (CLE) sessions (Table 1.2)</w:t>
      </w:r>
      <w:r w:rsidR="00092107" w:rsidRPr="00F87941">
        <w:t xml:space="preserve"> </w:t>
      </w:r>
      <w:r w:rsidR="00046488">
        <w:t xml:space="preserve">in quarter four, which </w:t>
      </w:r>
      <w:r w:rsidR="00092107" w:rsidRPr="00F87941">
        <w:t>reflect</w:t>
      </w:r>
      <w:r w:rsidR="00046488">
        <w:t xml:space="preserve">s </w:t>
      </w:r>
      <w:r w:rsidR="00092107" w:rsidRPr="00F87941">
        <w:t xml:space="preserve">a </w:t>
      </w:r>
      <w:r w:rsidR="0006512A" w:rsidRPr="00F87941">
        <w:t xml:space="preserve">strong end to the </w:t>
      </w:r>
      <w:r w:rsidR="00092107" w:rsidRPr="00F87941">
        <w:t>financial year</w:t>
      </w:r>
      <w:r w:rsidR="0006512A" w:rsidRPr="00F87941">
        <w:t xml:space="preserve"> </w:t>
      </w:r>
      <w:r w:rsidR="00AA695E">
        <w:t xml:space="preserve">with </w:t>
      </w:r>
      <w:r w:rsidR="007F5635" w:rsidRPr="00F87941">
        <w:t>several</w:t>
      </w:r>
      <w:r w:rsidR="0006512A" w:rsidRPr="00F87941">
        <w:t xml:space="preserve"> sessions booked. </w:t>
      </w:r>
      <w:r w:rsidR="007E216D" w:rsidRPr="00F87941">
        <w:t>W</w:t>
      </w:r>
      <w:r w:rsidR="00212B87" w:rsidRPr="00F87941">
        <w:t>e will continue to actively reach out and engage with community organisations and education providers</w:t>
      </w:r>
      <w:r w:rsidR="00C06545">
        <w:t xml:space="preserve"> in </w:t>
      </w:r>
      <w:r w:rsidR="003F51D5" w:rsidRPr="00F87941">
        <w:t>quarter</w:t>
      </w:r>
      <w:r w:rsidR="00D127DF">
        <w:t xml:space="preserve"> one 2024-25, h</w:t>
      </w:r>
      <w:r w:rsidR="00C06545">
        <w:t xml:space="preserve">owever, </w:t>
      </w:r>
      <w:r w:rsidR="00F87941" w:rsidRPr="00F87941">
        <w:t>we</w:t>
      </w:r>
      <w:r w:rsidR="00C06545">
        <w:t xml:space="preserve"> </w:t>
      </w:r>
      <w:r w:rsidR="002F2A8B">
        <w:t xml:space="preserve">are </w:t>
      </w:r>
      <w:r w:rsidR="00C06545">
        <w:t>anticipat</w:t>
      </w:r>
      <w:r w:rsidR="002F2A8B">
        <w:t>ing</w:t>
      </w:r>
      <w:r w:rsidR="00C06545">
        <w:t xml:space="preserve"> </w:t>
      </w:r>
      <w:r w:rsidR="00221939">
        <w:t xml:space="preserve">fewer </w:t>
      </w:r>
      <w:r w:rsidR="00F87941" w:rsidRPr="00F87941">
        <w:t>sessions</w:t>
      </w:r>
      <w:r w:rsidR="00C06545">
        <w:t xml:space="preserve"> </w:t>
      </w:r>
      <w:r w:rsidR="002F2A8B">
        <w:t xml:space="preserve">to </w:t>
      </w:r>
      <w:r w:rsidR="00C06545">
        <w:t>be delivered</w:t>
      </w:r>
      <w:r w:rsidR="00F87941" w:rsidRPr="00F87941">
        <w:t xml:space="preserve"> due</w:t>
      </w:r>
      <w:r w:rsidR="002F2A8B">
        <w:t xml:space="preserve"> only to an expected shortage</w:t>
      </w:r>
      <w:r w:rsidR="002D4FDC">
        <w:t xml:space="preserve"> </w:t>
      </w:r>
      <w:r w:rsidR="00F87941" w:rsidRPr="00F87941">
        <w:t>of staff</w:t>
      </w:r>
      <w:r w:rsidR="00D127DF">
        <w:t xml:space="preserve">. </w:t>
      </w:r>
    </w:p>
    <w:bookmarkEnd w:id="2"/>
    <w:p w14:paraId="3465B0CB" w14:textId="2F16E8A1" w:rsidR="00212B87" w:rsidRPr="001623E2" w:rsidRDefault="00212B87" w:rsidP="0B2DEDFC">
      <w:pPr>
        <w:rPr>
          <w:rFonts w:cs="Arial"/>
        </w:rPr>
      </w:pPr>
      <w:r w:rsidRPr="0B2DEDFC">
        <w:rPr>
          <w:rFonts w:cs="Arial"/>
        </w:rPr>
        <w:t xml:space="preserve">Google has been making changes to the way they track user data, which has had a flow-on impact on the analytics available to measure our website performance. </w:t>
      </w:r>
      <w:r w:rsidR="00460D56">
        <w:rPr>
          <w:rFonts w:cs="Arial"/>
        </w:rPr>
        <w:t>During the year</w:t>
      </w:r>
      <w:r w:rsidRPr="0B2DEDFC">
        <w:rPr>
          <w:rFonts w:cs="Arial"/>
        </w:rPr>
        <w:t>, we updated our performance measure to ‘Engaged sessions of legal information website pages’ (Table 1.2), which counts sessions that last longer than ten seconds or where a user has been actively engaged with the content.</w:t>
      </w:r>
      <w:r w:rsidR="00C90AAA">
        <w:rPr>
          <w:rFonts w:cs="Arial"/>
        </w:rPr>
        <w:t xml:space="preserve"> W</w:t>
      </w:r>
      <w:r>
        <w:t xml:space="preserve">e saw an increase of </w:t>
      </w:r>
      <w:r w:rsidR="00854E49">
        <w:t>two</w:t>
      </w:r>
      <w:r>
        <w:t xml:space="preserve"> per</w:t>
      </w:r>
      <w:r w:rsidR="00221939">
        <w:t xml:space="preserve"> </w:t>
      </w:r>
      <w:r>
        <w:t>cent from quarter t</w:t>
      </w:r>
      <w:r w:rsidR="238AC93C">
        <w:t>hree</w:t>
      </w:r>
      <w:r w:rsidR="00A23E3D">
        <w:t xml:space="preserve">. There </w:t>
      </w:r>
      <w:r w:rsidRPr="0B2DEDFC">
        <w:rPr>
          <w:rFonts w:cs="Arial"/>
        </w:rPr>
        <w:t xml:space="preserve">is currently not enough historical data available </w:t>
      </w:r>
      <w:r w:rsidR="00A23E3D">
        <w:rPr>
          <w:rFonts w:cs="Arial"/>
        </w:rPr>
        <w:t xml:space="preserve">yet </w:t>
      </w:r>
      <w:r w:rsidR="00502385">
        <w:rPr>
          <w:rFonts w:cs="Arial"/>
        </w:rPr>
        <w:t xml:space="preserve">to make quarterly projections </w:t>
      </w:r>
      <w:r w:rsidRPr="0B2DEDFC">
        <w:rPr>
          <w:rFonts w:cs="Arial"/>
        </w:rPr>
        <w:t>for this new measure</w:t>
      </w:r>
      <w:r w:rsidR="00502385">
        <w:rPr>
          <w:rFonts w:cs="Arial"/>
        </w:rPr>
        <w:t>.</w:t>
      </w:r>
    </w:p>
    <w:p w14:paraId="3C3C18BD" w14:textId="77777777" w:rsidR="00212B87" w:rsidRDefault="00212B87" w:rsidP="006663C9">
      <w:pPr>
        <w:pStyle w:val="Tableheader"/>
      </w:pPr>
      <w:r w:rsidRPr="00742E79">
        <w:t>Table 1.</w:t>
      </w:r>
      <w:r>
        <w:t>2</w:t>
      </w:r>
      <w:r w:rsidRPr="00742E79">
        <w:t xml:space="preserve"> Community information and education services</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1638"/>
        <w:gridCol w:w="1638"/>
        <w:gridCol w:w="1638"/>
      </w:tblGrid>
      <w:tr w:rsidR="007D0510" w:rsidRPr="003A7C01" w14:paraId="6105E9B1" w14:textId="77777777" w:rsidTr="000843DB">
        <w:trPr>
          <w:trHeight w:val="347"/>
        </w:trPr>
        <w:tc>
          <w:tcPr>
            <w:tcW w:w="4873" w:type="dxa"/>
            <w:vMerge w:val="restart"/>
            <w:shd w:val="clear" w:color="auto" w:fill="B59CC0"/>
            <w:vAlign w:val="center"/>
            <w:hideMark/>
          </w:tcPr>
          <w:p w14:paraId="26189585" w14:textId="6EAEE4C5" w:rsidR="007D0510" w:rsidRPr="003A7C01" w:rsidRDefault="00FA12A3" w:rsidP="00417688">
            <w:pPr>
              <w:rPr>
                <w:rFonts w:cs="Arial"/>
                <w:b/>
                <w:bCs/>
                <w:color w:val="000000"/>
                <w:szCs w:val="22"/>
                <w:lang w:eastAsia="zh-CN" w:bidi="th-TH"/>
              </w:rPr>
            </w:pPr>
            <w:r>
              <w:rPr>
                <w:rFonts w:cs="Arial"/>
                <w:b/>
                <w:bCs/>
                <w:color w:val="000000"/>
                <w:szCs w:val="22"/>
                <w:lang w:eastAsia="zh-CN" w:bidi="th-TH"/>
              </w:rPr>
              <w:t>S</w:t>
            </w:r>
            <w:r w:rsidR="007D0510" w:rsidRPr="003A7C01">
              <w:rPr>
                <w:rFonts w:cs="Arial"/>
                <w:b/>
                <w:bCs/>
                <w:color w:val="000000"/>
                <w:szCs w:val="22"/>
                <w:lang w:eastAsia="zh-CN" w:bidi="th-TH"/>
              </w:rPr>
              <w:t>ervices  </w:t>
            </w:r>
          </w:p>
        </w:tc>
        <w:tc>
          <w:tcPr>
            <w:tcW w:w="1638" w:type="dxa"/>
            <w:tcBorders>
              <w:bottom w:val="nil"/>
            </w:tcBorders>
            <w:shd w:val="clear" w:color="auto" w:fill="B59CC0"/>
            <w:vAlign w:val="center"/>
            <w:hideMark/>
          </w:tcPr>
          <w:p w14:paraId="01FB1AC8"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Q3</w:t>
            </w:r>
          </w:p>
        </w:tc>
        <w:tc>
          <w:tcPr>
            <w:tcW w:w="1638" w:type="dxa"/>
            <w:tcBorders>
              <w:bottom w:val="nil"/>
            </w:tcBorders>
            <w:shd w:val="clear" w:color="auto" w:fill="B59CC0"/>
            <w:vAlign w:val="center"/>
            <w:hideMark/>
          </w:tcPr>
          <w:p w14:paraId="098FC808" w14:textId="57A293C0" w:rsidR="007D0510" w:rsidRPr="003A7C01" w:rsidRDefault="007D051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5010992D" w:rsidRPr="0B2DEDFC">
              <w:rPr>
                <w:rFonts w:cs="Arial"/>
                <w:b/>
                <w:bCs/>
                <w:color w:val="000000" w:themeColor="text1"/>
                <w:lang w:eastAsia="zh-CN" w:bidi="th-TH"/>
              </w:rPr>
              <w:t>4</w:t>
            </w:r>
          </w:p>
        </w:tc>
        <w:tc>
          <w:tcPr>
            <w:tcW w:w="1638" w:type="dxa"/>
            <w:tcBorders>
              <w:bottom w:val="nil"/>
            </w:tcBorders>
            <w:shd w:val="clear" w:color="auto" w:fill="B59CC0"/>
            <w:vAlign w:val="center"/>
            <w:hideMark/>
          </w:tcPr>
          <w:p w14:paraId="6BF9963F" w14:textId="48E9FEBB" w:rsidR="007D0510" w:rsidRPr="003A7C01" w:rsidRDefault="007D051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7F721FB9" w:rsidRPr="0B2DEDFC">
              <w:rPr>
                <w:rFonts w:cs="Arial"/>
                <w:b/>
                <w:bCs/>
                <w:color w:val="000000" w:themeColor="text1"/>
                <w:lang w:eastAsia="zh-CN" w:bidi="th-TH"/>
              </w:rPr>
              <w:t xml:space="preserve">1 </w:t>
            </w:r>
            <w:r w:rsidRPr="0B2DEDFC">
              <w:rPr>
                <w:rFonts w:cs="Arial"/>
                <w:b/>
                <w:bCs/>
                <w:color w:val="000000" w:themeColor="text1"/>
                <w:lang w:eastAsia="zh-CN" w:bidi="th-TH"/>
              </w:rPr>
              <w:t>202</w:t>
            </w:r>
            <w:r w:rsidR="1C879BA2" w:rsidRPr="0B2DEDFC">
              <w:rPr>
                <w:rFonts w:cs="Arial"/>
                <w:b/>
                <w:bCs/>
                <w:color w:val="000000" w:themeColor="text1"/>
                <w:lang w:eastAsia="zh-CN" w:bidi="th-TH"/>
              </w:rPr>
              <w:t>4</w:t>
            </w:r>
            <w:r w:rsidR="00C82810">
              <w:rPr>
                <w:rFonts w:cs="Arial"/>
                <w:b/>
                <w:bCs/>
                <w:color w:val="000000" w:themeColor="text1"/>
                <w:lang w:eastAsia="zh-CN" w:bidi="th-TH"/>
              </w:rPr>
              <w:t>–</w:t>
            </w:r>
            <w:r w:rsidRPr="0B2DEDFC">
              <w:rPr>
                <w:rFonts w:cs="Arial"/>
                <w:b/>
                <w:bCs/>
                <w:color w:val="000000" w:themeColor="text1"/>
                <w:lang w:eastAsia="zh-CN" w:bidi="th-TH"/>
              </w:rPr>
              <w:t>2</w:t>
            </w:r>
            <w:r w:rsidR="0ECA26DB" w:rsidRPr="0B2DEDFC">
              <w:rPr>
                <w:rFonts w:cs="Arial"/>
                <w:b/>
                <w:bCs/>
                <w:color w:val="000000" w:themeColor="text1"/>
                <w:lang w:eastAsia="zh-CN" w:bidi="th-TH"/>
              </w:rPr>
              <w:t>5</w:t>
            </w:r>
          </w:p>
        </w:tc>
      </w:tr>
      <w:tr w:rsidR="007D0510" w:rsidRPr="003A7C01" w14:paraId="0DEF3769" w14:textId="77777777" w:rsidTr="000843DB">
        <w:trPr>
          <w:trHeight w:val="347"/>
        </w:trPr>
        <w:tc>
          <w:tcPr>
            <w:tcW w:w="4873" w:type="dxa"/>
            <w:vMerge/>
            <w:vAlign w:val="center"/>
            <w:hideMark/>
          </w:tcPr>
          <w:p w14:paraId="3AE3206A" w14:textId="77777777" w:rsidR="007D0510" w:rsidRPr="003A7C01" w:rsidRDefault="007D0510" w:rsidP="00417688">
            <w:pPr>
              <w:spacing w:after="0" w:line="240" w:lineRule="auto"/>
              <w:rPr>
                <w:rFonts w:cs="Arial"/>
                <w:b/>
                <w:bCs/>
                <w:color w:val="000000"/>
                <w:szCs w:val="22"/>
                <w:lang w:eastAsia="zh-CN" w:bidi="th-TH"/>
              </w:rPr>
            </w:pPr>
          </w:p>
        </w:tc>
        <w:tc>
          <w:tcPr>
            <w:tcW w:w="1638" w:type="dxa"/>
            <w:tcBorders>
              <w:top w:val="nil"/>
            </w:tcBorders>
            <w:shd w:val="clear" w:color="auto" w:fill="B59CC0"/>
            <w:vAlign w:val="center"/>
            <w:hideMark/>
          </w:tcPr>
          <w:p w14:paraId="7A749A8F"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638" w:type="dxa"/>
            <w:tcBorders>
              <w:top w:val="nil"/>
            </w:tcBorders>
            <w:shd w:val="clear" w:color="auto" w:fill="B59CC0"/>
            <w:vAlign w:val="center"/>
            <w:hideMark/>
          </w:tcPr>
          <w:p w14:paraId="02D9BA58"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638" w:type="dxa"/>
            <w:tcBorders>
              <w:top w:val="nil"/>
            </w:tcBorders>
            <w:shd w:val="clear" w:color="auto" w:fill="B59CC0"/>
            <w:vAlign w:val="center"/>
            <w:hideMark/>
          </w:tcPr>
          <w:p w14:paraId="75CE7F1B" w14:textId="77777777" w:rsidR="007D0510" w:rsidRPr="003A7C01" w:rsidRDefault="007D051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7D0510" w:rsidRPr="003A7C01" w14:paraId="40FA3A96" w14:textId="77777777" w:rsidTr="00B067B4">
        <w:trPr>
          <w:trHeight w:val="883"/>
        </w:trPr>
        <w:tc>
          <w:tcPr>
            <w:tcW w:w="4873" w:type="dxa"/>
            <w:shd w:val="clear" w:color="auto" w:fill="auto"/>
            <w:vAlign w:val="center"/>
            <w:hideMark/>
          </w:tcPr>
          <w:p w14:paraId="2D2D6048"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Number of Legal Help sessions delivered </w:t>
            </w:r>
          </w:p>
        </w:tc>
        <w:tc>
          <w:tcPr>
            <w:tcW w:w="1638" w:type="dxa"/>
            <w:shd w:val="clear" w:color="auto" w:fill="auto"/>
            <w:vAlign w:val="center"/>
            <w:hideMark/>
          </w:tcPr>
          <w:p w14:paraId="71473D3D"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38,457</w:t>
            </w:r>
          </w:p>
        </w:tc>
        <w:tc>
          <w:tcPr>
            <w:tcW w:w="1638" w:type="dxa"/>
            <w:shd w:val="clear" w:color="auto" w:fill="D0CECE" w:themeFill="background2" w:themeFillShade="E6"/>
            <w:vAlign w:val="center"/>
            <w:hideMark/>
          </w:tcPr>
          <w:p w14:paraId="0BE091CE" w14:textId="00EDE6A4" w:rsidR="007D0510" w:rsidRPr="003A7C01" w:rsidRDefault="631D5E47" w:rsidP="0B2DEDFC">
            <w:pPr>
              <w:spacing w:after="0" w:line="240" w:lineRule="auto"/>
              <w:jc w:val="center"/>
              <w:rPr>
                <w:rFonts w:cs="Arial"/>
                <w:color w:val="000000"/>
                <w:lang w:eastAsia="zh-CN" w:bidi="th-TH"/>
              </w:rPr>
            </w:pPr>
            <w:r w:rsidRPr="0B2DEDFC">
              <w:rPr>
                <w:rFonts w:cs="Arial"/>
                <w:color w:val="000000" w:themeColor="text1"/>
                <w:lang w:eastAsia="zh-CN" w:bidi="th-TH"/>
              </w:rPr>
              <w:t>34,250</w:t>
            </w:r>
          </w:p>
        </w:tc>
        <w:tc>
          <w:tcPr>
            <w:tcW w:w="1638" w:type="dxa"/>
            <w:shd w:val="clear" w:color="auto" w:fill="auto"/>
            <w:vAlign w:val="center"/>
            <w:hideMark/>
          </w:tcPr>
          <w:p w14:paraId="41464CB9" w14:textId="208882CA" w:rsidR="007D0510" w:rsidRPr="003A7C01" w:rsidRDefault="6CADF130" w:rsidP="0B2DEDFC">
            <w:pPr>
              <w:spacing w:after="0" w:line="240" w:lineRule="auto"/>
              <w:jc w:val="center"/>
              <w:rPr>
                <w:rFonts w:cs="Arial"/>
                <w:color w:val="000000"/>
                <w:lang w:eastAsia="zh-CN" w:bidi="th-TH"/>
              </w:rPr>
            </w:pPr>
            <w:r w:rsidRPr="0B2DEDFC">
              <w:rPr>
                <w:rFonts w:cs="Arial"/>
                <w:color w:val="000000" w:themeColor="text1"/>
                <w:lang w:eastAsia="zh-CN" w:bidi="th-TH"/>
              </w:rPr>
              <w:t>28,447</w:t>
            </w:r>
          </w:p>
        </w:tc>
      </w:tr>
      <w:tr w:rsidR="007D0510" w:rsidRPr="003A7C01" w14:paraId="533292B4" w14:textId="77777777" w:rsidTr="00B067B4">
        <w:trPr>
          <w:trHeight w:val="883"/>
        </w:trPr>
        <w:tc>
          <w:tcPr>
            <w:tcW w:w="4873" w:type="dxa"/>
            <w:shd w:val="clear" w:color="auto" w:fill="auto"/>
            <w:vAlign w:val="center"/>
            <w:hideMark/>
          </w:tcPr>
          <w:p w14:paraId="5AA65D1D" w14:textId="77777777" w:rsidR="007D0510" w:rsidRPr="003A7C01" w:rsidRDefault="007D0510" w:rsidP="0B2DEDFC">
            <w:pPr>
              <w:spacing w:after="0" w:line="240" w:lineRule="auto"/>
              <w:rPr>
                <w:rFonts w:cs="Arial"/>
                <w:color w:val="000000"/>
                <w:highlight w:val="yellow"/>
                <w:lang w:eastAsia="zh-CN" w:bidi="th-TH"/>
              </w:rPr>
            </w:pPr>
            <w:r w:rsidRPr="00124DB1">
              <w:rPr>
                <w:rFonts w:cs="Arial"/>
                <w:color w:val="000000" w:themeColor="text1"/>
                <w:lang w:eastAsia="zh-CN" w:bidi="th-TH"/>
              </w:rPr>
              <w:t>Combined average wait time (minutes) </w:t>
            </w:r>
          </w:p>
        </w:tc>
        <w:tc>
          <w:tcPr>
            <w:tcW w:w="1638" w:type="dxa"/>
            <w:shd w:val="clear" w:color="auto" w:fill="auto"/>
            <w:vAlign w:val="center"/>
            <w:hideMark/>
          </w:tcPr>
          <w:p w14:paraId="677039B6" w14:textId="290A369C"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8.23</w:t>
            </w:r>
          </w:p>
        </w:tc>
        <w:tc>
          <w:tcPr>
            <w:tcW w:w="1638" w:type="dxa"/>
            <w:shd w:val="clear" w:color="auto" w:fill="D0CECE" w:themeFill="background2" w:themeFillShade="E6"/>
            <w:vAlign w:val="center"/>
            <w:hideMark/>
          </w:tcPr>
          <w:p w14:paraId="629DC60F" w14:textId="690E79A4" w:rsidR="007D0510" w:rsidRPr="003A7C01" w:rsidRDefault="003D7AC9" w:rsidP="0B2DEDFC">
            <w:pPr>
              <w:spacing w:after="0" w:line="240" w:lineRule="auto"/>
              <w:jc w:val="center"/>
              <w:rPr>
                <w:rFonts w:cs="Arial"/>
                <w:color w:val="000000"/>
                <w:lang w:eastAsia="zh-CN" w:bidi="th-TH"/>
              </w:rPr>
            </w:pPr>
            <w:r>
              <w:rPr>
                <w:rFonts w:cs="Arial"/>
                <w:color w:val="000000"/>
                <w:lang w:eastAsia="zh-CN" w:bidi="th-TH"/>
              </w:rPr>
              <w:t>9:58</w:t>
            </w:r>
          </w:p>
        </w:tc>
        <w:tc>
          <w:tcPr>
            <w:tcW w:w="1638" w:type="dxa"/>
            <w:shd w:val="clear" w:color="auto" w:fill="FFFFFF" w:themeFill="background1"/>
            <w:vAlign w:val="center"/>
            <w:hideMark/>
          </w:tcPr>
          <w:p w14:paraId="59C41A52" w14:textId="2A5DE206" w:rsidR="007D0510" w:rsidRPr="003A7C01" w:rsidRDefault="00A3357A" w:rsidP="0B2DEDFC">
            <w:pPr>
              <w:spacing w:after="0" w:line="240" w:lineRule="auto"/>
              <w:jc w:val="center"/>
              <w:rPr>
                <w:rFonts w:cs="Arial"/>
                <w:color w:val="000000"/>
                <w:lang w:eastAsia="zh-CN" w:bidi="th-TH"/>
              </w:rPr>
            </w:pPr>
            <w:r>
              <w:rPr>
                <w:rFonts w:cs="Arial"/>
                <w:color w:val="000000"/>
                <w:lang w:eastAsia="zh-CN" w:bidi="th-TH"/>
              </w:rPr>
              <w:t>15:00</w:t>
            </w:r>
          </w:p>
        </w:tc>
      </w:tr>
      <w:tr w:rsidR="007D0510" w:rsidRPr="003A7C01" w14:paraId="15EF6594" w14:textId="77777777" w:rsidTr="00B067B4">
        <w:trPr>
          <w:trHeight w:val="883"/>
        </w:trPr>
        <w:tc>
          <w:tcPr>
            <w:tcW w:w="4873" w:type="dxa"/>
            <w:shd w:val="clear" w:color="auto" w:fill="auto"/>
            <w:vAlign w:val="center"/>
            <w:hideMark/>
          </w:tcPr>
          <w:p w14:paraId="5632F834" w14:textId="77777777" w:rsidR="007D0510" w:rsidRPr="003A7C01" w:rsidRDefault="007D0510" w:rsidP="00417688">
            <w:pPr>
              <w:spacing w:after="0" w:line="240" w:lineRule="auto"/>
              <w:rPr>
                <w:rFonts w:cs="Arial"/>
                <w:color w:val="000000"/>
                <w:szCs w:val="22"/>
                <w:lang w:eastAsia="zh-CN" w:bidi="th-TH"/>
              </w:rPr>
            </w:pPr>
            <w:r w:rsidRPr="003A7C01">
              <w:rPr>
                <w:rFonts w:cs="Arial"/>
                <w:color w:val="000000"/>
                <w:szCs w:val="22"/>
                <w:lang w:eastAsia="zh-CN" w:bidi="th-TH"/>
              </w:rPr>
              <w:t>Information sessions </w:t>
            </w:r>
          </w:p>
        </w:tc>
        <w:tc>
          <w:tcPr>
            <w:tcW w:w="1638" w:type="dxa"/>
            <w:shd w:val="clear" w:color="auto" w:fill="auto"/>
            <w:vAlign w:val="center"/>
            <w:hideMark/>
          </w:tcPr>
          <w:p w14:paraId="3D354727"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32,388</w:t>
            </w:r>
          </w:p>
        </w:tc>
        <w:tc>
          <w:tcPr>
            <w:tcW w:w="1638" w:type="dxa"/>
            <w:shd w:val="clear" w:color="auto" w:fill="D0CECE" w:themeFill="background2" w:themeFillShade="E6"/>
            <w:vAlign w:val="center"/>
            <w:hideMark/>
          </w:tcPr>
          <w:p w14:paraId="5A22B7D6" w14:textId="7B8E4387" w:rsidR="007D0510" w:rsidRPr="003A7C01" w:rsidRDefault="13BB36EA" w:rsidP="0B2DEDFC">
            <w:pPr>
              <w:spacing w:after="0" w:line="240" w:lineRule="auto"/>
              <w:jc w:val="center"/>
              <w:rPr>
                <w:rFonts w:cs="Arial"/>
                <w:color w:val="000000"/>
                <w:lang w:eastAsia="zh-CN" w:bidi="th-TH"/>
              </w:rPr>
            </w:pPr>
            <w:r w:rsidRPr="0B2DEDFC">
              <w:rPr>
                <w:rFonts w:cs="Arial"/>
                <w:color w:val="000000" w:themeColor="text1"/>
                <w:lang w:eastAsia="zh-CN" w:bidi="th-TH"/>
              </w:rPr>
              <w:t>33,969</w:t>
            </w:r>
          </w:p>
        </w:tc>
        <w:tc>
          <w:tcPr>
            <w:tcW w:w="1638" w:type="dxa"/>
            <w:shd w:val="clear" w:color="auto" w:fill="auto"/>
            <w:vAlign w:val="center"/>
            <w:hideMark/>
          </w:tcPr>
          <w:p w14:paraId="00F36ED4" w14:textId="083E0438" w:rsidR="007D0510" w:rsidRPr="003A7C01" w:rsidRDefault="00780E71" w:rsidP="0B2DEDFC">
            <w:pPr>
              <w:spacing w:after="0" w:line="240" w:lineRule="auto"/>
              <w:jc w:val="center"/>
              <w:rPr>
                <w:rFonts w:cs="Arial"/>
                <w:color w:val="000000"/>
                <w:lang w:eastAsia="zh-CN" w:bidi="th-TH"/>
              </w:rPr>
            </w:pPr>
            <w:r>
              <w:rPr>
                <w:rFonts w:cs="Arial"/>
                <w:color w:val="000000"/>
                <w:lang w:eastAsia="zh-CN" w:bidi="th-TH"/>
              </w:rPr>
              <w:t>25,246</w:t>
            </w:r>
          </w:p>
        </w:tc>
      </w:tr>
      <w:tr w:rsidR="007D0510" w:rsidRPr="003A7C01" w14:paraId="2B8B14B8" w14:textId="77777777" w:rsidTr="00B067B4">
        <w:trPr>
          <w:trHeight w:val="883"/>
        </w:trPr>
        <w:tc>
          <w:tcPr>
            <w:tcW w:w="4873" w:type="dxa"/>
            <w:shd w:val="clear" w:color="auto" w:fill="auto"/>
            <w:vAlign w:val="center"/>
            <w:hideMark/>
          </w:tcPr>
          <w:p w14:paraId="1C1898D7" w14:textId="77777777" w:rsidR="007D0510" w:rsidRPr="003A7C01" w:rsidRDefault="007D0510" w:rsidP="0B2DEDFC">
            <w:pPr>
              <w:spacing w:after="0" w:line="240" w:lineRule="auto"/>
              <w:rPr>
                <w:rFonts w:cs="Arial"/>
                <w:color w:val="000000"/>
                <w:highlight w:val="yellow"/>
                <w:lang w:eastAsia="zh-CN" w:bidi="th-TH"/>
              </w:rPr>
            </w:pPr>
            <w:r w:rsidRPr="00F87941">
              <w:rPr>
                <w:rFonts w:cs="Arial"/>
                <w:color w:val="000000" w:themeColor="text1"/>
                <w:lang w:eastAsia="zh-CN" w:bidi="th-TH"/>
              </w:rPr>
              <w:t>Community Legal Education sessions </w:t>
            </w:r>
          </w:p>
        </w:tc>
        <w:tc>
          <w:tcPr>
            <w:tcW w:w="1638" w:type="dxa"/>
            <w:shd w:val="clear" w:color="auto" w:fill="auto"/>
            <w:vAlign w:val="center"/>
            <w:hideMark/>
          </w:tcPr>
          <w:p w14:paraId="0FE02AEE"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36</w:t>
            </w:r>
          </w:p>
        </w:tc>
        <w:tc>
          <w:tcPr>
            <w:tcW w:w="1638" w:type="dxa"/>
            <w:shd w:val="clear" w:color="auto" w:fill="D0CECE" w:themeFill="background2" w:themeFillShade="E6"/>
            <w:vAlign w:val="center"/>
            <w:hideMark/>
          </w:tcPr>
          <w:p w14:paraId="4546C815" w14:textId="01CFC872" w:rsidR="007D0510" w:rsidRPr="003A7C01" w:rsidRDefault="062696FB" w:rsidP="0B2DEDFC">
            <w:pPr>
              <w:spacing w:after="0" w:line="240" w:lineRule="auto"/>
              <w:jc w:val="center"/>
              <w:rPr>
                <w:rFonts w:cs="Arial"/>
                <w:color w:val="000000"/>
                <w:lang w:eastAsia="zh-CN" w:bidi="th-TH"/>
              </w:rPr>
            </w:pPr>
            <w:r w:rsidRPr="0B2DEDFC">
              <w:rPr>
                <w:rFonts w:cs="Arial"/>
                <w:color w:val="000000" w:themeColor="text1"/>
                <w:lang w:eastAsia="zh-CN" w:bidi="th-TH"/>
              </w:rPr>
              <w:t>84</w:t>
            </w:r>
          </w:p>
        </w:tc>
        <w:tc>
          <w:tcPr>
            <w:tcW w:w="1638" w:type="dxa"/>
            <w:shd w:val="clear" w:color="auto" w:fill="FFFFFF" w:themeFill="background1"/>
            <w:vAlign w:val="center"/>
            <w:hideMark/>
          </w:tcPr>
          <w:p w14:paraId="477696FC" w14:textId="46CFF458" w:rsidR="007D0510" w:rsidRPr="003A7C01" w:rsidRDefault="11DCDAC5" w:rsidP="0B2DEDFC">
            <w:pPr>
              <w:spacing w:after="0" w:line="240" w:lineRule="auto"/>
              <w:jc w:val="center"/>
              <w:rPr>
                <w:rFonts w:cs="Arial"/>
                <w:color w:val="000000"/>
                <w:lang w:eastAsia="zh-CN" w:bidi="th-TH"/>
              </w:rPr>
            </w:pPr>
            <w:r w:rsidRPr="0B2DEDFC">
              <w:rPr>
                <w:rFonts w:cs="Arial"/>
                <w:color w:val="000000" w:themeColor="text1"/>
                <w:lang w:eastAsia="zh-CN" w:bidi="th-TH"/>
              </w:rPr>
              <w:t>23</w:t>
            </w:r>
          </w:p>
        </w:tc>
      </w:tr>
      <w:tr w:rsidR="007D0510" w:rsidRPr="003A7C01" w14:paraId="69FDC122" w14:textId="77777777" w:rsidTr="00B067B4">
        <w:trPr>
          <w:trHeight w:val="883"/>
        </w:trPr>
        <w:tc>
          <w:tcPr>
            <w:tcW w:w="4873" w:type="dxa"/>
            <w:shd w:val="clear" w:color="auto" w:fill="auto"/>
            <w:vAlign w:val="center"/>
            <w:hideMark/>
          </w:tcPr>
          <w:p w14:paraId="11A6A226" w14:textId="1534ADCB" w:rsidR="007D0510" w:rsidRPr="003A7C01" w:rsidRDefault="007D0510" w:rsidP="0B2DEDFC">
            <w:pPr>
              <w:spacing w:after="0" w:line="240" w:lineRule="auto"/>
              <w:rPr>
                <w:rFonts w:cs="Arial"/>
                <w:color w:val="000000"/>
                <w:lang w:eastAsia="zh-CN" w:bidi="th-TH"/>
              </w:rPr>
            </w:pPr>
            <w:r w:rsidRPr="0B2DEDFC">
              <w:rPr>
                <w:rFonts w:cs="Arial"/>
                <w:color w:val="000000" w:themeColor="text1"/>
                <w:lang w:eastAsia="zh-CN" w:bidi="th-TH"/>
              </w:rPr>
              <w:t>Engaged sessions</w:t>
            </w:r>
            <w:r w:rsidR="7FE6932B" w:rsidRPr="0B2DEDFC">
              <w:rPr>
                <w:rFonts w:cs="Arial"/>
                <w:color w:val="000000" w:themeColor="text1"/>
                <w:vertAlign w:val="superscript"/>
                <w:lang w:eastAsia="zh-CN" w:bidi="th-TH"/>
              </w:rPr>
              <w:t>2</w:t>
            </w:r>
            <w:r w:rsidRPr="0B2DEDFC">
              <w:rPr>
                <w:rFonts w:cs="Arial"/>
                <w:color w:val="000000" w:themeColor="text1"/>
                <w:lang w:eastAsia="zh-CN" w:bidi="th-TH"/>
              </w:rPr>
              <w:t xml:space="preserve"> of legal information website pages </w:t>
            </w:r>
          </w:p>
        </w:tc>
        <w:tc>
          <w:tcPr>
            <w:tcW w:w="1638" w:type="dxa"/>
            <w:shd w:val="clear" w:color="auto" w:fill="auto"/>
            <w:vAlign w:val="center"/>
            <w:hideMark/>
          </w:tcPr>
          <w:p w14:paraId="1F1E519F"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280,977</w:t>
            </w:r>
          </w:p>
        </w:tc>
        <w:tc>
          <w:tcPr>
            <w:tcW w:w="1638" w:type="dxa"/>
            <w:shd w:val="clear" w:color="auto" w:fill="D0CECE" w:themeFill="background2" w:themeFillShade="E6"/>
            <w:vAlign w:val="center"/>
            <w:hideMark/>
          </w:tcPr>
          <w:p w14:paraId="6E5B3A7C" w14:textId="78AD2572" w:rsidR="007D0510" w:rsidRPr="003A7C01" w:rsidRDefault="350DDD53" w:rsidP="0B2DEDFC">
            <w:pPr>
              <w:spacing w:after="0" w:line="240" w:lineRule="auto"/>
              <w:jc w:val="center"/>
              <w:rPr>
                <w:rFonts w:cs="Arial"/>
                <w:color w:val="000000"/>
                <w:lang w:eastAsia="zh-CN" w:bidi="th-TH"/>
              </w:rPr>
            </w:pPr>
            <w:r w:rsidRPr="0B2DEDFC">
              <w:rPr>
                <w:rFonts w:cs="Arial"/>
                <w:color w:val="000000" w:themeColor="text1"/>
                <w:lang w:eastAsia="zh-CN" w:bidi="th-TH"/>
              </w:rPr>
              <w:t>287,044</w:t>
            </w:r>
          </w:p>
        </w:tc>
        <w:tc>
          <w:tcPr>
            <w:tcW w:w="1638" w:type="dxa"/>
            <w:shd w:val="clear" w:color="auto" w:fill="FFFFFF" w:themeFill="background1"/>
            <w:vAlign w:val="center"/>
            <w:hideMark/>
          </w:tcPr>
          <w:p w14:paraId="3CDF9FAF" w14:textId="77777777" w:rsidR="007D0510" w:rsidRPr="003A7C01" w:rsidRDefault="007D0510" w:rsidP="00417688">
            <w:pPr>
              <w:spacing w:after="0" w:line="240" w:lineRule="auto"/>
              <w:jc w:val="center"/>
              <w:rPr>
                <w:rFonts w:cs="Arial"/>
                <w:color w:val="000000"/>
                <w:szCs w:val="22"/>
                <w:lang w:eastAsia="zh-CN" w:bidi="th-TH"/>
              </w:rPr>
            </w:pPr>
            <w:r w:rsidRPr="003A7C01">
              <w:rPr>
                <w:rFonts w:cs="Arial"/>
                <w:color w:val="000000"/>
                <w:szCs w:val="22"/>
                <w:lang w:eastAsia="zh-CN" w:bidi="th-TH"/>
              </w:rPr>
              <w:t>N/A</w:t>
            </w:r>
          </w:p>
        </w:tc>
      </w:tr>
    </w:tbl>
    <w:p w14:paraId="0F8DB299" w14:textId="2F9E0F90" w:rsidR="004665D1" w:rsidRDefault="6BF45623" w:rsidP="007D0510">
      <w:pPr>
        <w:rPr>
          <w:sz w:val="18"/>
          <w:szCs w:val="18"/>
        </w:rPr>
      </w:pPr>
      <w:r w:rsidRPr="0B2DEDFC">
        <w:rPr>
          <w:rStyle w:val="FootnoteReference"/>
        </w:rPr>
        <w:t>2</w:t>
      </w:r>
      <w:r w:rsidR="007D0510">
        <w:t xml:space="preserve"> </w:t>
      </w:r>
      <w:r w:rsidR="007D0510" w:rsidRPr="0B2DEDFC">
        <w:rPr>
          <w:sz w:val="18"/>
          <w:szCs w:val="18"/>
        </w:rPr>
        <w:t>Engaged sessions are when a website session lasts longer than ten seconds, when a session includes at least one conversion, or when a session includes two or more page views.</w:t>
      </w:r>
    </w:p>
    <w:p w14:paraId="436B6788" w14:textId="14D7EF36" w:rsidR="007D0510" w:rsidRPr="0009722D" w:rsidRDefault="004665D1" w:rsidP="006663C9">
      <w:pPr>
        <w:pStyle w:val="Heading2"/>
      </w:pPr>
      <w:r>
        <w:lastRenderedPageBreak/>
        <w:t>Specialist resolution and advocacy services</w:t>
      </w:r>
    </w:p>
    <w:p w14:paraId="09A2CD5F" w14:textId="6B90F950" w:rsidR="00F40F30" w:rsidRPr="00DE19B0" w:rsidRDefault="00F40F30" w:rsidP="00F40F30">
      <w:pPr>
        <w:rPr>
          <w:rFonts w:asciiTheme="minorHAnsi" w:eastAsiaTheme="minorHAnsi" w:hAnsiTheme="minorHAnsi" w:cstheme="minorBidi"/>
          <w:sz w:val="24"/>
          <w:lang w:val="en-GB"/>
        </w:rPr>
      </w:pPr>
      <w:r>
        <w:rPr>
          <w:lang w:eastAsia="en-AU"/>
        </w:rPr>
        <w:t xml:space="preserve">VLA provides specialist non-legal services that help people advocate for themselves and inform people and communities of their rights when it comes to both the mental health and the child protection systems. </w:t>
      </w:r>
    </w:p>
    <w:p w14:paraId="472E85FC" w14:textId="234A7E8C" w:rsidR="00920802" w:rsidRDefault="00F40F30" w:rsidP="00920802">
      <w:pPr>
        <w:rPr>
          <w:lang w:eastAsia="en-AU"/>
        </w:rPr>
      </w:pPr>
      <w:r w:rsidRPr="00BB0F84">
        <w:rPr>
          <w:lang w:eastAsia="en-AU"/>
        </w:rPr>
        <w:t>People undergoing compulsory mental health treatments are required to opt</w:t>
      </w:r>
      <w:r>
        <w:rPr>
          <w:lang w:eastAsia="en-AU"/>
        </w:rPr>
        <w:t xml:space="preserve"> </w:t>
      </w:r>
      <w:r w:rsidRPr="00BB0F84">
        <w:rPr>
          <w:lang w:eastAsia="en-AU"/>
        </w:rPr>
        <w:t xml:space="preserve">out of our Independent Mental Health Advocacy (IMHA) service. </w:t>
      </w:r>
      <w:r w:rsidR="00A5319D">
        <w:rPr>
          <w:lang w:eastAsia="en-AU"/>
        </w:rPr>
        <w:t>Since th</w:t>
      </w:r>
      <w:r w:rsidR="004D63BF">
        <w:rPr>
          <w:lang w:eastAsia="en-AU"/>
        </w:rPr>
        <w:t>is</w:t>
      </w:r>
      <w:r w:rsidR="00A5319D">
        <w:rPr>
          <w:lang w:eastAsia="en-AU"/>
        </w:rPr>
        <w:t xml:space="preserve"> </w:t>
      </w:r>
      <w:r w:rsidR="00BB7CBC">
        <w:rPr>
          <w:lang w:eastAsia="en-AU"/>
        </w:rPr>
        <w:t>opt-</w:t>
      </w:r>
      <w:r w:rsidR="00A5319D">
        <w:rPr>
          <w:lang w:eastAsia="en-AU"/>
        </w:rPr>
        <w:t xml:space="preserve">out commenced </w:t>
      </w:r>
      <w:r w:rsidR="00185072">
        <w:rPr>
          <w:lang w:eastAsia="en-AU"/>
        </w:rPr>
        <w:t xml:space="preserve">in </w:t>
      </w:r>
      <w:r w:rsidR="00A5319D">
        <w:rPr>
          <w:lang w:eastAsia="en-AU"/>
        </w:rPr>
        <w:t>September</w:t>
      </w:r>
      <w:r w:rsidR="006E7B57">
        <w:rPr>
          <w:lang w:eastAsia="en-AU"/>
        </w:rPr>
        <w:t xml:space="preserve"> last year</w:t>
      </w:r>
      <w:r w:rsidR="00A5319D">
        <w:rPr>
          <w:lang w:eastAsia="en-AU"/>
        </w:rPr>
        <w:t>,</w:t>
      </w:r>
      <w:r w:rsidR="00065FA9">
        <w:rPr>
          <w:lang w:eastAsia="en-AU"/>
        </w:rPr>
        <w:t xml:space="preserve"> there </w:t>
      </w:r>
      <w:r w:rsidR="00920802">
        <w:rPr>
          <w:lang w:eastAsia="en-AU"/>
        </w:rPr>
        <w:t xml:space="preserve">has </w:t>
      </w:r>
      <w:r w:rsidR="00065FA9">
        <w:rPr>
          <w:lang w:eastAsia="en-AU"/>
        </w:rPr>
        <w:t>be</w:t>
      </w:r>
      <w:r w:rsidR="00920802">
        <w:rPr>
          <w:lang w:eastAsia="en-AU"/>
        </w:rPr>
        <w:t>en</w:t>
      </w:r>
      <w:r w:rsidR="00065FA9">
        <w:rPr>
          <w:lang w:eastAsia="en-AU"/>
        </w:rPr>
        <w:t xml:space="preserve"> an </w:t>
      </w:r>
      <w:r w:rsidRPr="00BB0F84">
        <w:rPr>
          <w:lang w:eastAsia="en-AU"/>
        </w:rPr>
        <w:t xml:space="preserve">increase </w:t>
      </w:r>
      <w:r w:rsidR="00065FA9">
        <w:rPr>
          <w:lang w:eastAsia="en-AU"/>
        </w:rPr>
        <w:t>in</w:t>
      </w:r>
      <w:r w:rsidRPr="00BB0F84">
        <w:rPr>
          <w:lang w:eastAsia="en-AU"/>
        </w:rPr>
        <w:t xml:space="preserve"> demand for our services.</w:t>
      </w:r>
      <w:r>
        <w:rPr>
          <w:lang w:eastAsia="en-AU"/>
        </w:rPr>
        <w:t xml:space="preserve"> </w:t>
      </w:r>
      <w:r w:rsidR="00920802" w:rsidRPr="00296755">
        <w:rPr>
          <w:lang w:eastAsia="en-AU"/>
        </w:rPr>
        <w:t xml:space="preserve">IMHA is </w:t>
      </w:r>
      <w:r w:rsidR="00B45683">
        <w:rPr>
          <w:lang w:eastAsia="en-AU"/>
        </w:rPr>
        <w:t xml:space="preserve">also </w:t>
      </w:r>
      <w:r w:rsidR="00920802" w:rsidRPr="00296755">
        <w:rPr>
          <w:lang w:eastAsia="en-AU"/>
        </w:rPr>
        <w:t>now present in Melbourne and eight other locations around Victoria. It also has a team of First Nations advocates working closely with the Victorian Aboriginal Legal Service, increasing access for First Nations consumers.</w:t>
      </w:r>
    </w:p>
    <w:p w14:paraId="3F9DBF90" w14:textId="440C65D6" w:rsidR="00303C8F" w:rsidRDefault="00F40F30" w:rsidP="00F40F30">
      <w:pPr>
        <w:rPr>
          <w:lang w:eastAsia="en-AU"/>
        </w:rPr>
      </w:pPr>
      <w:r>
        <w:rPr>
          <w:lang w:eastAsia="en-AU"/>
        </w:rPr>
        <w:t xml:space="preserve">In quarter </w:t>
      </w:r>
      <w:r w:rsidR="204CA86A">
        <w:rPr>
          <w:lang w:eastAsia="en-AU"/>
        </w:rPr>
        <w:t>four</w:t>
      </w:r>
      <w:r>
        <w:rPr>
          <w:lang w:eastAsia="en-AU"/>
        </w:rPr>
        <w:t xml:space="preserve">, </w:t>
      </w:r>
      <w:r w:rsidR="00FD60CC">
        <w:rPr>
          <w:lang w:eastAsia="en-AU"/>
        </w:rPr>
        <w:t xml:space="preserve">there was </w:t>
      </w:r>
      <w:r w:rsidR="00C16C97">
        <w:rPr>
          <w:lang w:eastAsia="en-AU"/>
        </w:rPr>
        <w:t>a</w:t>
      </w:r>
      <w:r w:rsidRPr="00FF0FFA">
        <w:rPr>
          <w:lang w:eastAsia="en-AU"/>
        </w:rPr>
        <w:t xml:space="preserve"> </w:t>
      </w:r>
      <w:r w:rsidR="0C229B9D" w:rsidRPr="00FF0FFA">
        <w:rPr>
          <w:lang w:eastAsia="en-AU"/>
        </w:rPr>
        <w:t>21</w:t>
      </w:r>
      <w:r w:rsidR="00C755B1">
        <w:rPr>
          <w:lang w:eastAsia="en-AU"/>
        </w:rPr>
        <w:t> </w:t>
      </w:r>
      <w:r w:rsidRPr="00FF0FFA">
        <w:rPr>
          <w:lang w:eastAsia="en-AU"/>
        </w:rPr>
        <w:t>per</w:t>
      </w:r>
      <w:r w:rsidR="006E7B57">
        <w:rPr>
          <w:lang w:eastAsia="en-AU"/>
        </w:rPr>
        <w:t xml:space="preserve"> </w:t>
      </w:r>
      <w:r w:rsidRPr="00FF0FFA">
        <w:rPr>
          <w:lang w:eastAsia="en-AU"/>
        </w:rPr>
        <w:t>cent increase in the number of information and referral sessions</w:t>
      </w:r>
      <w:r w:rsidR="68AE39AC" w:rsidRPr="00FF0FFA">
        <w:rPr>
          <w:lang w:eastAsia="en-AU"/>
        </w:rPr>
        <w:t xml:space="preserve"> and a</w:t>
      </w:r>
      <w:r w:rsidR="00674426">
        <w:rPr>
          <w:lang w:eastAsia="en-AU"/>
        </w:rPr>
        <w:t xml:space="preserve"> </w:t>
      </w:r>
      <w:r w:rsidR="00C67C77">
        <w:rPr>
          <w:lang w:eastAsia="en-AU"/>
        </w:rPr>
        <w:t>nine</w:t>
      </w:r>
      <w:r w:rsidR="68AE39AC" w:rsidRPr="00FF0FFA">
        <w:rPr>
          <w:lang w:eastAsia="en-AU"/>
        </w:rPr>
        <w:t xml:space="preserve"> per</w:t>
      </w:r>
      <w:r w:rsidR="006A77E7">
        <w:rPr>
          <w:lang w:eastAsia="en-AU"/>
        </w:rPr>
        <w:t xml:space="preserve"> </w:t>
      </w:r>
      <w:r w:rsidR="68AE39AC" w:rsidRPr="00FF0FFA">
        <w:rPr>
          <w:lang w:eastAsia="en-AU"/>
        </w:rPr>
        <w:t>cent</w:t>
      </w:r>
      <w:r w:rsidRPr="00FF0FFA">
        <w:rPr>
          <w:lang w:eastAsia="en-AU"/>
        </w:rPr>
        <w:t xml:space="preserve"> </w:t>
      </w:r>
      <w:r w:rsidR="2E656CEB" w:rsidRPr="00FF0FFA">
        <w:rPr>
          <w:lang w:eastAsia="en-AU"/>
        </w:rPr>
        <w:t>increase</w:t>
      </w:r>
      <w:r w:rsidR="00674426">
        <w:rPr>
          <w:lang w:eastAsia="en-AU"/>
        </w:rPr>
        <w:t xml:space="preserve"> in</w:t>
      </w:r>
      <w:r w:rsidR="2E656CEB" w:rsidRPr="00FF0FFA">
        <w:rPr>
          <w:lang w:eastAsia="en-AU"/>
        </w:rPr>
        <w:t xml:space="preserve"> </w:t>
      </w:r>
      <w:r w:rsidRPr="00FF0FFA">
        <w:rPr>
          <w:lang w:eastAsia="en-AU"/>
        </w:rPr>
        <w:t>advocacy and self</w:t>
      </w:r>
      <w:r w:rsidR="006A77E7">
        <w:rPr>
          <w:lang w:eastAsia="en-AU"/>
        </w:rPr>
        <w:t>-</w:t>
      </w:r>
      <w:r w:rsidRPr="00FF0FFA">
        <w:rPr>
          <w:lang w:eastAsia="en-AU"/>
        </w:rPr>
        <w:t>advocacy services (Table 1.3).</w:t>
      </w:r>
      <w:r w:rsidR="00C16C97">
        <w:rPr>
          <w:lang w:eastAsia="en-AU"/>
        </w:rPr>
        <w:t xml:space="preserve"> </w:t>
      </w:r>
      <w:r w:rsidR="002B47E0">
        <w:rPr>
          <w:lang w:eastAsia="en-AU"/>
        </w:rPr>
        <w:t>The forecast for quarter</w:t>
      </w:r>
      <w:r w:rsidR="007D346B">
        <w:rPr>
          <w:lang w:eastAsia="en-AU"/>
        </w:rPr>
        <w:t xml:space="preserve"> </w:t>
      </w:r>
      <w:r w:rsidR="006A77E7">
        <w:rPr>
          <w:lang w:eastAsia="en-AU"/>
        </w:rPr>
        <w:t>one 2024-25</w:t>
      </w:r>
      <w:r w:rsidR="002B47E0">
        <w:rPr>
          <w:lang w:eastAsia="en-AU"/>
        </w:rPr>
        <w:t xml:space="preserve"> has been </w:t>
      </w:r>
      <w:r w:rsidR="00D127DF">
        <w:rPr>
          <w:lang w:eastAsia="en-AU"/>
        </w:rPr>
        <w:t xml:space="preserve">projected based on the </w:t>
      </w:r>
      <w:r w:rsidR="00C01352">
        <w:rPr>
          <w:lang w:eastAsia="en-AU"/>
        </w:rPr>
        <w:t>latest</w:t>
      </w:r>
      <w:r w:rsidR="009D6D80">
        <w:rPr>
          <w:lang w:eastAsia="en-AU"/>
        </w:rPr>
        <w:t xml:space="preserve"> </w:t>
      </w:r>
      <w:r w:rsidR="00E76B58">
        <w:rPr>
          <w:lang w:eastAsia="en-AU"/>
        </w:rPr>
        <w:t xml:space="preserve">demand. </w:t>
      </w:r>
    </w:p>
    <w:p w14:paraId="2E916FF1" w14:textId="6589E575" w:rsidR="00296755" w:rsidRDefault="00296755" w:rsidP="00F40F30">
      <w:pPr>
        <w:rPr>
          <w:lang w:eastAsia="en-AU"/>
        </w:rPr>
      </w:pPr>
      <w:r w:rsidRPr="00296755">
        <w:rPr>
          <w:lang w:eastAsia="en-AU"/>
        </w:rPr>
        <w:t>Independent Family Advocacy and Support (IFAS) provides non-legal advocacy to parents and primary carers navigating the early stages of the child protection system. This non-legal service helps achieve better justice outcomes by diverting families from the court system in child protection matters.</w:t>
      </w:r>
    </w:p>
    <w:p w14:paraId="363ABC93" w14:textId="2EF4F6D5" w:rsidR="0016267F" w:rsidRDefault="00FD60CC" w:rsidP="00F40F30">
      <w:pPr>
        <w:rPr>
          <w:lang w:eastAsia="en-AU"/>
        </w:rPr>
      </w:pPr>
      <w:r>
        <w:rPr>
          <w:lang w:eastAsia="en-AU"/>
        </w:rPr>
        <w:t xml:space="preserve">In </w:t>
      </w:r>
      <w:r w:rsidR="00F40F30" w:rsidRPr="0B2DEDFC">
        <w:rPr>
          <w:lang w:eastAsia="en-AU"/>
        </w:rPr>
        <w:t xml:space="preserve">quarter </w:t>
      </w:r>
      <w:r w:rsidR="7056F9FD" w:rsidRPr="0B2DEDFC">
        <w:rPr>
          <w:lang w:eastAsia="en-AU"/>
        </w:rPr>
        <w:t>four</w:t>
      </w:r>
      <w:r>
        <w:rPr>
          <w:lang w:eastAsia="en-AU"/>
        </w:rPr>
        <w:t xml:space="preserve">, </w:t>
      </w:r>
      <w:r w:rsidR="00F40F30" w:rsidRPr="0B2DEDFC">
        <w:rPr>
          <w:lang w:eastAsia="en-AU"/>
        </w:rPr>
        <w:t>IFAS</w:t>
      </w:r>
      <w:r w:rsidR="006C1158">
        <w:rPr>
          <w:lang w:eastAsia="en-AU"/>
        </w:rPr>
        <w:t xml:space="preserve"> </w:t>
      </w:r>
      <w:r w:rsidR="006C1158" w:rsidRPr="00FF0FFA">
        <w:rPr>
          <w:lang w:eastAsia="en-AU"/>
        </w:rPr>
        <w:t>information and referral sessions</w:t>
      </w:r>
      <w:r w:rsidR="006C1158">
        <w:rPr>
          <w:lang w:eastAsia="en-AU"/>
        </w:rPr>
        <w:t xml:space="preserve"> were </w:t>
      </w:r>
      <w:r w:rsidR="00696C8D">
        <w:rPr>
          <w:lang w:eastAsia="en-AU"/>
        </w:rPr>
        <w:t>18 </w:t>
      </w:r>
      <w:r w:rsidR="00696C8D" w:rsidRPr="00FF0FFA">
        <w:rPr>
          <w:lang w:eastAsia="en-AU"/>
        </w:rPr>
        <w:t>per</w:t>
      </w:r>
      <w:r w:rsidR="006A77E7">
        <w:rPr>
          <w:lang w:eastAsia="en-AU"/>
        </w:rPr>
        <w:t xml:space="preserve"> </w:t>
      </w:r>
      <w:r w:rsidR="00696C8D" w:rsidRPr="00FF0FFA">
        <w:rPr>
          <w:lang w:eastAsia="en-AU"/>
        </w:rPr>
        <w:t xml:space="preserve">cent </w:t>
      </w:r>
      <w:r w:rsidR="00EE1D80">
        <w:rPr>
          <w:lang w:eastAsia="en-AU"/>
        </w:rPr>
        <w:t xml:space="preserve">higher </w:t>
      </w:r>
      <w:r w:rsidR="00AE600C">
        <w:rPr>
          <w:lang w:eastAsia="en-AU"/>
        </w:rPr>
        <w:t xml:space="preserve">than last quarter </w:t>
      </w:r>
      <w:r w:rsidR="00EE1D80">
        <w:rPr>
          <w:lang w:eastAsia="en-AU"/>
        </w:rPr>
        <w:t xml:space="preserve">and </w:t>
      </w:r>
      <w:r w:rsidR="00696C8D" w:rsidRPr="00FF0FFA">
        <w:rPr>
          <w:lang w:eastAsia="en-AU"/>
        </w:rPr>
        <w:t>advocacy and self</w:t>
      </w:r>
      <w:r w:rsidR="007D346B">
        <w:rPr>
          <w:lang w:eastAsia="en-AU"/>
        </w:rPr>
        <w:t>-</w:t>
      </w:r>
      <w:r w:rsidR="00696C8D" w:rsidRPr="00FF0FFA">
        <w:rPr>
          <w:lang w:eastAsia="en-AU"/>
        </w:rPr>
        <w:t>advocacy services</w:t>
      </w:r>
      <w:r w:rsidR="009D6D80">
        <w:rPr>
          <w:lang w:eastAsia="en-AU"/>
        </w:rPr>
        <w:t xml:space="preserve"> were</w:t>
      </w:r>
      <w:r w:rsidR="00696C8D" w:rsidRPr="00FF0FFA">
        <w:rPr>
          <w:lang w:eastAsia="en-AU"/>
        </w:rPr>
        <w:t xml:space="preserve"> </w:t>
      </w:r>
      <w:r w:rsidR="00EE1D80">
        <w:rPr>
          <w:lang w:eastAsia="en-AU"/>
        </w:rPr>
        <w:t>14</w:t>
      </w:r>
      <w:r w:rsidR="00EE1D80" w:rsidRPr="00FF0FFA">
        <w:rPr>
          <w:lang w:eastAsia="en-AU"/>
        </w:rPr>
        <w:t xml:space="preserve"> per</w:t>
      </w:r>
      <w:r w:rsidR="00056D2F">
        <w:rPr>
          <w:lang w:eastAsia="en-AU"/>
        </w:rPr>
        <w:t xml:space="preserve"> </w:t>
      </w:r>
      <w:r w:rsidR="00EE1D80" w:rsidRPr="00FF0FFA">
        <w:rPr>
          <w:lang w:eastAsia="en-AU"/>
        </w:rPr>
        <w:t>cent</w:t>
      </w:r>
      <w:r w:rsidR="00AE600C">
        <w:rPr>
          <w:lang w:eastAsia="en-AU"/>
        </w:rPr>
        <w:t xml:space="preserve"> </w:t>
      </w:r>
      <w:r w:rsidR="00EE1D80">
        <w:rPr>
          <w:lang w:eastAsia="en-AU"/>
        </w:rPr>
        <w:t xml:space="preserve">higher </w:t>
      </w:r>
      <w:r w:rsidR="00696C8D" w:rsidRPr="00FF0FFA">
        <w:rPr>
          <w:lang w:eastAsia="en-AU"/>
        </w:rPr>
        <w:t>(Table 1.3).</w:t>
      </w:r>
      <w:r w:rsidR="00AE600C">
        <w:rPr>
          <w:lang w:eastAsia="en-AU"/>
        </w:rPr>
        <w:t xml:space="preserve"> </w:t>
      </w:r>
      <w:r w:rsidR="003B62DF">
        <w:rPr>
          <w:lang w:eastAsia="en-AU"/>
        </w:rPr>
        <w:t>Th</w:t>
      </w:r>
      <w:r w:rsidR="004A6CCE">
        <w:rPr>
          <w:lang w:eastAsia="en-AU"/>
        </w:rPr>
        <w:t>e increase in demand for services</w:t>
      </w:r>
      <w:r w:rsidR="003B62DF">
        <w:rPr>
          <w:lang w:eastAsia="en-AU"/>
        </w:rPr>
        <w:t xml:space="preserve"> stemmed from </w:t>
      </w:r>
      <w:r w:rsidR="00D01A47">
        <w:rPr>
          <w:lang w:eastAsia="en-AU"/>
        </w:rPr>
        <w:t xml:space="preserve">greater promotion of IFAS services </w:t>
      </w:r>
      <w:r w:rsidR="00D068FF">
        <w:rPr>
          <w:lang w:eastAsia="en-AU"/>
        </w:rPr>
        <w:t>within the community</w:t>
      </w:r>
      <w:r w:rsidR="0016357C">
        <w:rPr>
          <w:lang w:eastAsia="en-AU"/>
        </w:rPr>
        <w:t xml:space="preserve">, </w:t>
      </w:r>
      <w:r w:rsidR="00D01A47">
        <w:rPr>
          <w:lang w:eastAsia="en-AU"/>
        </w:rPr>
        <w:t xml:space="preserve">including </w:t>
      </w:r>
      <w:r w:rsidR="00B27EB6">
        <w:rPr>
          <w:lang w:eastAsia="en-AU"/>
        </w:rPr>
        <w:t xml:space="preserve">several </w:t>
      </w:r>
      <w:r w:rsidR="00D01A47">
        <w:rPr>
          <w:lang w:eastAsia="en-AU"/>
        </w:rPr>
        <w:t>education session</w:t>
      </w:r>
      <w:r w:rsidR="00B27EB6">
        <w:rPr>
          <w:lang w:eastAsia="en-AU"/>
        </w:rPr>
        <w:t>s</w:t>
      </w:r>
      <w:r w:rsidR="00D01A47">
        <w:rPr>
          <w:lang w:eastAsia="en-AU"/>
        </w:rPr>
        <w:t xml:space="preserve"> </w:t>
      </w:r>
      <w:r w:rsidR="009D6D80">
        <w:rPr>
          <w:lang w:eastAsia="en-AU"/>
        </w:rPr>
        <w:t xml:space="preserve">that were </w:t>
      </w:r>
      <w:r w:rsidR="00D01A47">
        <w:rPr>
          <w:lang w:eastAsia="en-AU"/>
        </w:rPr>
        <w:t xml:space="preserve">run during the quarter. </w:t>
      </w:r>
      <w:r w:rsidR="00D127DF">
        <w:rPr>
          <w:lang w:eastAsia="en-AU"/>
        </w:rPr>
        <w:t>L</w:t>
      </w:r>
      <w:r w:rsidR="00BD3059">
        <w:rPr>
          <w:lang w:eastAsia="en-AU"/>
        </w:rPr>
        <w:t>atest</w:t>
      </w:r>
      <w:r w:rsidR="00AA7FB4">
        <w:rPr>
          <w:lang w:eastAsia="en-AU"/>
        </w:rPr>
        <w:t xml:space="preserve"> demand</w:t>
      </w:r>
      <w:r w:rsidR="00D33335">
        <w:rPr>
          <w:lang w:eastAsia="en-AU"/>
        </w:rPr>
        <w:t xml:space="preserve"> levels</w:t>
      </w:r>
      <w:r w:rsidR="00AA7FB4">
        <w:rPr>
          <w:lang w:eastAsia="en-AU"/>
        </w:rPr>
        <w:t xml:space="preserve"> ha</w:t>
      </w:r>
      <w:r w:rsidR="00D33335">
        <w:rPr>
          <w:lang w:eastAsia="en-AU"/>
        </w:rPr>
        <w:t>ve</w:t>
      </w:r>
      <w:r w:rsidR="00AA7FB4">
        <w:rPr>
          <w:lang w:eastAsia="en-AU"/>
        </w:rPr>
        <w:t xml:space="preserve"> been used </w:t>
      </w:r>
      <w:r w:rsidR="0016357C">
        <w:rPr>
          <w:lang w:eastAsia="en-AU"/>
        </w:rPr>
        <w:t>as a</w:t>
      </w:r>
      <w:r w:rsidR="00D33335">
        <w:rPr>
          <w:lang w:eastAsia="en-AU"/>
        </w:rPr>
        <w:t>n indicative</w:t>
      </w:r>
      <w:r w:rsidR="00AA7FB4">
        <w:rPr>
          <w:lang w:eastAsia="en-AU"/>
        </w:rPr>
        <w:t xml:space="preserve"> </w:t>
      </w:r>
      <w:r w:rsidR="00D127DF">
        <w:rPr>
          <w:lang w:eastAsia="en-AU"/>
        </w:rPr>
        <w:t>forecast</w:t>
      </w:r>
      <w:r w:rsidR="00AA7FB4">
        <w:rPr>
          <w:lang w:eastAsia="en-AU"/>
        </w:rPr>
        <w:t xml:space="preserve"> </w:t>
      </w:r>
      <w:r w:rsidR="00A6170F">
        <w:rPr>
          <w:lang w:eastAsia="en-AU"/>
        </w:rPr>
        <w:t xml:space="preserve">for </w:t>
      </w:r>
      <w:r w:rsidR="00F97103">
        <w:rPr>
          <w:lang w:eastAsia="en-AU"/>
        </w:rPr>
        <w:t>quarter</w:t>
      </w:r>
      <w:r w:rsidR="00056D2F">
        <w:rPr>
          <w:lang w:eastAsia="en-AU"/>
        </w:rPr>
        <w:t xml:space="preserve"> one 2024-25</w:t>
      </w:r>
      <w:r w:rsidR="00D127DF">
        <w:rPr>
          <w:lang w:eastAsia="en-AU"/>
        </w:rPr>
        <w:t>, as</w:t>
      </w:r>
      <w:r w:rsidR="0016267F">
        <w:rPr>
          <w:lang w:eastAsia="en-AU"/>
        </w:rPr>
        <w:t xml:space="preserve"> </w:t>
      </w:r>
      <w:r w:rsidR="00185072">
        <w:rPr>
          <w:lang w:eastAsia="en-AU"/>
        </w:rPr>
        <w:t>plan</w:t>
      </w:r>
      <w:r w:rsidR="00C87371">
        <w:rPr>
          <w:lang w:eastAsia="en-AU"/>
        </w:rPr>
        <w:t>ning</w:t>
      </w:r>
      <w:r w:rsidR="00D127DF">
        <w:rPr>
          <w:lang w:eastAsia="en-AU"/>
        </w:rPr>
        <w:t xml:space="preserve"> for</w:t>
      </w:r>
      <w:r w:rsidR="00C87371">
        <w:rPr>
          <w:lang w:eastAsia="en-AU"/>
        </w:rPr>
        <w:t xml:space="preserve"> the </w:t>
      </w:r>
      <w:r w:rsidR="00F42ACE">
        <w:rPr>
          <w:lang w:eastAsia="en-AU"/>
        </w:rPr>
        <w:t xml:space="preserve">IFAS </w:t>
      </w:r>
      <w:r w:rsidR="002F4BE8">
        <w:rPr>
          <w:lang w:eastAsia="en-AU"/>
        </w:rPr>
        <w:t xml:space="preserve">expansion </w:t>
      </w:r>
      <w:r w:rsidR="00E41606">
        <w:rPr>
          <w:lang w:eastAsia="en-AU"/>
        </w:rPr>
        <w:t>in</w:t>
      </w:r>
      <w:r w:rsidR="00D127DF">
        <w:rPr>
          <w:lang w:eastAsia="en-AU"/>
        </w:rPr>
        <w:t xml:space="preserve"> 2024-25</w:t>
      </w:r>
      <w:r w:rsidR="00377E6D">
        <w:rPr>
          <w:lang w:eastAsia="en-AU"/>
        </w:rPr>
        <w:t xml:space="preserve"> </w:t>
      </w:r>
      <w:r w:rsidR="00056D2F">
        <w:rPr>
          <w:lang w:eastAsia="en-AU"/>
        </w:rPr>
        <w:t xml:space="preserve">are </w:t>
      </w:r>
      <w:r w:rsidR="00377E6D">
        <w:rPr>
          <w:lang w:eastAsia="en-AU"/>
        </w:rPr>
        <w:t>still</w:t>
      </w:r>
      <w:r w:rsidR="0016267F">
        <w:rPr>
          <w:lang w:eastAsia="en-AU"/>
        </w:rPr>
        <w:t xml:space="preserve"> </w:t>
      </w:r>
      <w:r w:rsidR="00185072">
        <w:rPr>
          <w:lang w:eastAsia="en-AU"/>
        </w:rPr>
        <w:t xml:space="preserve">in </w:t>
      </w:r>
      <w:r w:rsidR="0016267F">
        <w:rPr>
          <w:lang w:eastAsia="en-AU"/>
        </w:rPr>
        <w:t xml:space="preserve">progress.  </w:t>
      </w:r>
    </w:p>
    <w:p w14:paraId="652D927F" w14:textId="77777777" w:rsidR="00F40F30" w:rsidRDefault="00F40F30" w:rsidP="006663C9">
      <w:pPr>
        <w:pStyle w:val="Tableheader"/>
      </w:pPr>
      <w:r>
        <w:t>T</w:t>
      </w:r>
      <w:r w:rsidRPr="00742E79">
        <w:t>able 1.3 Specialist resolution and advocacy services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890"/>
        <w:gridCol w:w="1890"/>
        <w:gridCol w:w="1890"/>
      </w:tblGrid>
      <w:tr w:rsidR="00F40F30" w:rsidRPr="003A7C01" w14:paraId="3AFCE2BF" w14:textId="77777777" w:rsidTr="000843DB">
        <w:trPr>
          <w:trHeight w:val="333"/>
        </w:trPr>
        <w:tc>
          <w:tcPr>
            <w:tcW w:w="4158" w:type="dxa"/>
            <w:vMerge w:val="restart"/>
            <w:shd w:val="clear" w:color="auto" w:fill="B59CC0"/>
            <w:vAlign w:val="center"/>
            <w:hideMark/>
          </w:tcPr>
          <w:p w14:paraId="5493D907" w14:textId="77777777" w:rsidR="00F40F30" w:rsidRPr="003A7C01" w:rsidRDefault="00F40F30" w:rsidP="00417688">
            <w:pPr>
              <w:rPr>
                <w:rFonts w:cs="Arial"/>
                <w:b/>
                <w:bCs/>
                <w:color w:val="000000"/>
                <w:szCs w:val="22"/>
                <w:lang w:eastAsia="zh-CN" w:bidi="th-TH"/>
              </w:rPr>
            </w:pPr>
            <w:r w:rsidRPr="003A7C01">
              <w:rPr>
                <w:rFonts w:cs="Arial"/>
                <w:b/>
                <w:bCs/>
                <w:color w:val="000000"/>
                <w:szCs w:val="22"/>
                <w:lang w:eastAsia="zh-CN" w:bidi="th-TH"/>
              </w:rPr>
              <w:t>Specialist resolution and advocacy services</w:t>
            </w:r>
          </w:p>
        </w:tc>
        <w:tc>
          <w:tcPr>
            <w:tcW w:w="1890" w:type="dxa"/>
            <w:tcBorders>
              <w:bottom w:val="nil"/>
            </w:tcBorders>
            <w:shd w:val="clear" w:color="auto" w:fill="B59CC0"/>
            <w:vAlign w:val="center"/>
            <w:hideMark/>
          </w:tcPr>
          <w:p w14:paraId="718598E8"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Q3</w:t>
            </w:r>
          </w:p>
        </w:tc>
        <w:tc>
          <w:tcPr>
            <w:tcW w:w="1890" w:type="dxa"/>
            <w:tcBorders>
              <w:bottom w:val="nil"/>
            </w:tcBorders>
            <w:shd w:val="clear" w:color="auto" w:fill="B59CC0"/>
            <w:vAlign w:val="center"/>
            <w:hideMark/>
          </w:tcPr>
          <w:p w14:paraId="74997BA7" w14:textId="0AF799DF" w:rsidR="00F40F30" w:rsidRPr="003A7C01" w:rsidRDefault="00F40F30"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6192B7FF" w:rsidRPr="0B2DEDFC">
              <w:rPr>
                <w:rFonts w:cs="Arial"/>
                <w:b/>
                <w:bCs/>
                <w:color w:val="000000" w:themeColor="text1"/>
                <w:lang w:eastAsia="zh-CN" w:bidi="th-TH"/>
              </w:rPr>
              <w:t>4</w:t>
            </w:r>
          </w:p>
        </w:tc>
        <w:tc>
          <w:tcPr>
            <w:tcW w:w="1890" w:type="dxa"/>
            <w:tcBorders>
              <w:bottom w:val="nil"/>
            </w:tcBorders>
            <w:shd w:val="clear" w:color="auto" w:fill="B59CC0"/>
            <w:vAlign w:val="center"/>
            <w:hideMark/>
          </w:tcPr>
          <w:p w14:paraId="3F29A071" w14:textId="0DD47DAA" w:rsidR="00F40F30" w:rsidRPr="00BD4DED" w:rsidRDefault="00F40F30" w:rsidP="0B2DEDFC">
            <w:pPr>
              <w:spacing w:after="0" w:line="240" w:lineRule="auto"/>
              <w:jc w:val="center"/>
              <w:rPr>
                <w:rFonts w:cs="Arial"/>
                <w:b/>
                <w:bCs/>
                <w:color w:val="000000"/>
                <w:lang w:eastAsia="zh-CN" w:bidi="th-TH"/>
              </w:rPr>
            </w:pPr>
            <w:r w:rsidRPr="00BD4DED">
              <w:rPr>
                <w:rFonts w:cs="Arial"/>
                <w:b/>
                <w:bCs/>
                <w:color w:val="000000" w:themeColor="text1"/>
                <w:lang w:eastAsia="zh-CN" w:bidi="th-TH"/>
              </w:rPr>
              <w:t>Q</w:t>
            </w:r>
            <w:r w:rsidR="1A6892EE" w:rsidRPr="00BD4DED">
              <w:rPr>
                <w:rFonts w:cs="Arial"/>
                <w:b/>
                <w:bCs/>
                <w:color w:val="000000" w:themeColor="text1"/>
                <w:lang w:eastAsia="zh-CN" w:bidi="th-TH"/>
              </w:rPr>
              <w:t xml:space="preserve">1 </w:t>
            </w:r>
            <w:r w:rsidRPr="00BD4DED">
              <w:rPr>
                <w:rFonts w:cs="Arial"/>
                <w:b/>
                <w:bCs/>
                <w:color w:val="000000" w:themeColor="text1"/>
                <w:lang w:eastAsia="zh-CN" w:bidi="th-TH"/>
              </w:rPr>
              <w:t>202</w:t>
            </w:r>
            <w:r w:rsidR="415E4349" w:rsidRPr="00BD4DED">
              <w:rPr>
                <w:rFonts w:cs="Arial"/>
                <w:b/>
                <w:bCs/>
                <w:color w:val="000000" w:themeColor="text1"/>
                <w:lang w:eastAsia="zh-CN" w:bidi="th-TH"/>
              </w:rPr>
              <w:t>4</w:t>
            </w:r>
            <w:r w:rsidR="00C82810">
              <w:rPr>
                <w:rFonts w:cs="Arial"/>
                <w:b/>
                <w:bCs/>
                <w:color w:val="000000" w:themeColor="text1"/>
                <w:lang w:eastAsia="zh-CN" w:bidi="th-TH"/>
              </w:rPr>
              <w:t>–</w:t>
            </w:r>
            <w:r w:rsidRPr="00BD4DED">
              <w:rPr>
                <w:rFonts w:cs="Arial"/>
                <w:b/>
                <w:bCs/>
                <w:color w:val="000000" w:themeColor="text1"/>
                <w:lang w:eastAsia="zh-CN" w:bidi="th-TH"/>
              </w:rPr>
              <w:t>2</w:t>
            </w:r>
            <w:r w:rsidR="5AE60BE8" w:rsidRPr="00BD4DED">
              <w:rPr>
                <w:rFonts w:cs="Arial"/>
                <w:b/>
                <w:bCs/>
                <w:color w:val="000000" w:themeColor="text1"/>
                <w:lang w:eastAsia="zh-CN" w:bidi="th-TH"/>
              </w:rPr>
              <w:t>5</w:t>
            </w:r>
          </w:p>
        </w:tc>
      </w:tr>
      <w:tr w:rsidR="00F40F30" w:rsidRPr="003A7C01" w14:paraId="32BD91C1" w14:textId="77777777" w:rsidTr="000843DB">
        <w:trPr>
          <w:trHeight w:val="333"/>
        </w:trPr>
        <w:tc>
          <w:tcPr>
            <w:tcW w:w="4158" w:type="dxa"/>
            <w:vMerge/>
            <w:vAlign w:val="center"/>
            <w:hideMark/>
          </w:tcPr>
          <w:p w14:paraId="12938F1C" w14:textId="77777777" w:rsidR="00F40F30" w:rsidRPr="003A7C01" w:rsidRDefault="00F40F30" w:rsidP="00417688">
            <w:pPr>
              <w:spacing w:after="0" w:line="240" w:lineRule="auto"/>
              <w:rPr>
                <w:rFonts w:cs="Arial"/>
                <w:b/>
                <w:bCs/>
                <w:color w:val="000000"/>
                <w:szCs w:val="22"/>
                <w:lang w:eastAsia="zh-CN" w:bidi="th-TH"/>
              </w:rPr>
            </w:pPr>
          </w:p>
        </w:tc>
        <w:tc>
          <w:tcPr>
            <w:tcW w:w="1890" w:type="dxa"/>
            <w:tcBorders>
              <w:top w:val="nil"/>
            </w:tcBorders>
            <w:shd w:val="clear" w:color="auto" w:fill="B59CC0"/>
            <w:vAlign w:val="center"/>
            <w:hideMark/>
          </w:tcPr>
          <w:p w14:paraId="22D982A3"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890" w:type="dxa"/>
            <w:tcBorders>
              <w:top w:val="nil"/>
            </w:tcBorders>
            <w:shd w:val="clear" w:color="auto" w:fill="B59CC0"/>
            <w:vAlign w:val="center"/>
            <w:hideMark/>
          </w:tcPr>
          <w:p w14:paraId="288A376E" w14:textId="77777777" w:rsidR="00F40F30" w:rsidRPr="003A7C01" w:rsidRDefault="00F40F30"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90" w:type="dxa"/>
            <w:tcBorders>
              <w:top w:val="nil"/>
            </w:tcBorders>
            <w:shd w:val="clear" w:color="auto" w:fill="B59CC0"/>
            <w:vAlign w:val="center"/>
            <w:hideMark/>
          </w:tcPr>
          <w:p w14:paraId="597D3094" w14:textId="77777777" w:rsidR="00F40F30" w:rsidRPr="00BD4DED" w:rsidRDefault="00F40F30" w:rsidP="0B2DEDFC">
            <w:pPr>
              <w:spacing w:after="0" w:line="240" w:lineRule="auto"/>
              <w:jc w:val="center"/>
              <w:rPr>
                <w:rFonts w:cs="Arial"/>
                <w:b/>
                <w:bCs/>
                <w:color w:val="000000"/>
                <w:lang w:eastAsia="zh-CN" w:bidi="th-TH"/>
              </w:rPr>
            </w:pPr>
            <w:r w:rsidRPr="00BD4DED">
              <w:rPr>
                <w:rFonts w:cs="Arial"/>
                <w:b/>
                <w:bCs/>
                <w:color w:val="000000" w:themeColor="text1"/>
                <w:lang w:eastAsia="zh-CN" w:bidi="th-TH"/>
              </w:rPr>
              <w:t>projection</w:t>
            </w:r>
          </w:p>
        </w:tc>
      </w:tr>
      <w:tr w:rsidR="00F40F30" w:rsidRPr="003A7C01" w14:paraId="545CB9D9" w14:textId="77777777" w:rsidTr="00B067B4">
        <w:trPr>
          <w:trHeight w:val="856"/>
        </w:trPr>
        <w:tc>
          <w:tcPr>
            <w:tcW w:w="4158" w:type="dxa"/>
            <w:shd w:val="clear" w:color="auto" w:fill="auto"/>
            <w:vAlign w:val="center"/>
            <w:hideMark/>
          </w:tcPr>
          <w:p w14:paraId="2D8D79D9"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IMHA information and referral sessions</w:t>
            </w:r>
          </w:p>
        </w:tc>
        <w:tc>
          <w:tcPr>
            <w:tcW w:w="1890" w:type="dxa"/>
            <w:shd w:val="clear" w:color="auto" w:fill="auto"/>
            <w:vAlign w:val="center"/>
            <w:hideMark/>
          </w:tcPr>
          <w:p w14:paraId="483CCC41"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13,730</w:t>
            </w:r>
          </w:p>
        </w:tc>
        <w:tc>
          <w:tcPr>
            <w:tcW w:w="1890" w:type="dxa"/>
            <w:shd w:val="clear" w:color="auto" w:fill="D9D9D9" w:themeFill="background1" w:themeFillShade="D9"/>
            <w:vAlign w:val="center"/>
            <w:hideMark/>
          </w:tcPr>
          <w:p w14:paraId="311C0065" w14:textId="7A7B1770" w:rsidR="00F40F30" w:rsidRPr="003A7C01" w:rsidRDefault="4FFCC4BE" w:rsidP="0B2DEDFC">
            <w:pPr>
              <w:spacing w:after="0" w:line="240" w:lineRule="auto"/>
              <w:jc w:val="center"/>
              <w:rPr>
                <w:rFonts w:cs="Arial"/>
                <w:color w:val="000000"/>
                <w:lang w:eastAsia="zh-CN" w:bidi="th-TH"/>
              </w:rPr>
            </w:pPr>
            <w:r w:rsidRPr="0B2DEDFC">
              <w:rPr>
                <w:rFonts w:cs="Arial"/>
                <w:color w:val="000000" w:themeColor="text1"/>
                <w:lang w:eastAsia="zh-CN" w:bidi="th-TH"/>
              </w:rPr>
              <w:t>16,651</w:t>
            </w:r>
          </w:p>
        </w:tc>
        <w:tc>
          <w:tcPr>
            <w:tcW w:w="1890" w:type="dxa"/>
            <w:shd w:val="clear" w:color="auto" w:fill="auto"/>
            <w:vAlign w:val="center"/>
            <w:hideMark/>
          </w:tcPr>
          <w:p w14:paraId="1A47ED06" w14:textId="3D4FE306" w:rsidR="00F40F30" w:rsidRPr="003A7C01" w:rsidRDefault="0D573FC1" w:rsidP="0B2DEDFC">
            <w:pPr>
              <w:spacing w:after="0" w:line="240" w:lineRule="auto"/>
              <w:jc w:val="center"/>
              <w:rPr>
                <w:rFonts w:cs="Arial"/>
                <w:color w:val="000000"/>
                <w:lang w:eastAsia="zh-CN" w:bidi="th-TH"/>
              </w:rPr>
            </w:pPr>
            <w:r w:rsidRPr="0B2DEDFC">
              <w:rPr>
                <w:rFonts w:cs="Arial"/>
                <w:color w:val="000000" w:themeColor="text1"/>
                <w:lang w:eastAsia="zh-CN" w:bidi="th-TH"/>
              </w:rPr>
              <w:t>16,000</w:t>
            </w:r>
          </w:p>
        </w:tc>
      </w:tr>
      <w:tr w:rsidR="00F40F30" w:rsidRPr="003A7C01" w14:paraId="46E9D18E" w14:textId="77777777" w:rsidTr="00B067B4">
        <w:trPr>
          <w:trHeight w:val="856"/>
        </w:trPr>
        <w:tc>
          <w:tcPr>
            <w:tcW w:w="4158" w:type="dxa"/>
            <w:shd w:val="clear" w:color="auto" w:fill="auto"/>
            <w:vAlign w:val="center"/>
            <w:hideMark/>
          </w:tcPr>
          <w:p w14:paraId="04529C4B"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IMHA advocacy and self-advocacy</w:t>
            </w:r>
          </w:p>
        </w:tc>
        <w:tc>
          <w:tcPr>
            <w:tcW w:w="1890" w:type="dxa"/>
            <w:shd w:val="clear" w:color="auto" w:fill="auto"/>
            <w:vAlign w:val="center"/>
            <w:hideMark/>
          </w:tcPr>
          <w:p w14:paraId="15F0812B"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12,602</w:t>
            </w:r>
          </w:p>
        </w:tc>
        <w:tc>
          <w:tcPr>
            <w:tcW w:w="1890" w:type="dxa"/>
            <w:shd w:val="clear" w:color="auto" w:fill="D9D9D9" w:themeFill="background1" w:themeFillShade="D9"/>
            <w:vAlign w:val="center"/>
            <w:hideMark/>
          </w:tcPr>
          <w:p w14:paraId="44A60C59" w14:textId="35F7EC8B" w:rsidR="00F40F30" w:rsidRPr="003A7C01" w:rsidRDefault="5DB4A869" w:rsidP="0B2DEDFC">
            <w:pPr>
              <w:spacing w:after="0" w:line="240" w:lineRule="auto"/>
              <w:jc w:val="center"/>
              <w:rPr>
                <w:rFonts w:cs="Arial"/>
                <w:color w:val="000000"/>
                <w:lang w:eastAsia="zh-CN" w:bidi="th-TH"/>
              </w:rPr>
            </w:pPr>
            <w:r w:rsidRPr="0B2DEDFC">
              <w:rPr>
                <w:rFonts w:cs="Arial"/>
                <w:color w:val="000000" w:themeColor="text1"/>
                <w:lang w:eastAsia="zh-CN" w:bidi="th-TH"/>
              </w:rPr>
              <w:t>13,782</w:t>
            </w:r>
          </w:p>
        </w:tc>
        <w:tc>
          <w:tcPr>
            <w:tcW w:w="1890" w:type="dxa"/>
            <w:shd w:val="clear" w:color="auto" w:fill="auto"/>
            <w:vAlign w:val="center"/>
            <w:hideMark/>
          </w:tcPr>
          <w:p w14:paraId="31348547" w14:textId="7AA0F15E" w:rsidR="00F40F30" w:rsidRPr="003A7C01" w:rsidRDefault="2C600D23" w:rsidP="0B2DEDFC">
            <w:pPr>
              <w:spacing w:after="0" w:line="240" w:lineRule="auto"/>
              <w:jc w:val="center"/>
              <w:rPr>
                <w:rFonts w:cs="Arial"/>
                <w:color w:val="000000"/>
                <w:lang w:eastAsia="zh-CN" w:bidi="th-TH"/>
              </w:rPr>
            </w:pPr>
            <w:r w:rsidRPr="0B2DEDFC">
              <w:rPr>
                <w:rFonts w:cs="Arial"/>
                <w:color w:val="000000" w:themeColor="text1"/>
                <w:lang w:eastAsia="zh-CN" w:bidi="th-TH"/>
              </w:rPr>
              <w:t>13,000</w:t>
            </w:r>
          </w:p>
        </w:tc>
      </w:tr>
      <w:tr w:rsidR="00F40F30" w:rsidRPr="003A7C01" w14:paraId="533F6A55" w14:textId="77777777" w:rsidTr="00B067B4">
        <w:trPr>
          <w:trHeight w:val="856"/>
        </w:trPr>
        <w:tc>
          <w:tcPr>
            <w:tcW w:w="4158" w:type="dxa"/>
            <w:shd w:val="clear" w:color="auto" w:fill="auto"/>
            <w:vAlign w:val="center"/>
            <w:hideMark/>
          </w:tcPr>
          <w:p w14:paraId="1319097C"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IFAS information and referral sessions </w:t>
            </w:r>
          </w:p>
        </w:tc>
        <w:tc>
          <w:tcPr>
            <w:tcW w:w="1890" w:type="dxa"/>
            <w:shd w:val="clear" w:color="auto" w:fill="auto"/>
            <w:vAlign w:val="center"/>
            <w:hideMark/>
          </w:tcPr>
          <w:p w14:paraId="4F56ED37"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854</w:t>
            </w:r>
          </w:p>
        </w:tc>
        <w:tc>
          <w:tcPr>
            <w:tcW w:w="1890" w:type="dxa"/>
            <w:shd w:val="clear" w:color="auto" w:fill="D9D9D9" w:themeFill="background1" w:themeFillShade="D9"/>
            <w:vAlign w:val="center"/>
            <w:hideMark/>
          </w:tcPr>
          <w:p w14:paraId="4A530CAC" w14:textId="372A5624" w:rsidR="00F40F30" w:rsidRPr="003A7C01" w:rsidRDefault="7FAB0DE2" w:rsidP="0B2DEDFC">
            <w:pPr>
              <w:spacing w:after="0" w:line="240" w:lineRule="auto"/>
              <w:jc w:val="center"/>
              <w:rPr>
                <w:rFonts w:cs="Arial"/>
                <w:color w:val="000000"/>
                <w:lang w:eastAsia="zh-CN" w:bidi="th-TH"/>
              </w:rPr>
            </w:pPr>
            <w:r w:rsidRPr="0B2DEDFC">
              <w:rPr>
                <w:rFonts w:cs="Arial"/>
                <w:color w:val="000000" w:themeColor="text1"/>
                <w:lang w:eastAsia="zh-CN" w:bidi="th-TH"/>
              </w:rPr>
              <w:t>1,004</w:t>
            </w:r>
          </w:p>
        </w:tc>
        <w:tc>
          <w:tcPr>
            <w:tcW w:w="1890" w:type="dxa"/>
            <w:shd w:val="clear" w:color="auto" w:fill="auto"/>
            <w:vAlign w:val="center"/>
            <w:hideMark/>
          </w:tcPr>
          <w:p w14:paraId="6F19FE58" w14:textId="5D0CAF68" w:rsidR="00F40F30" w:rsidRPr="003A7C01" w:rsidRDefault="1659622F" w:rsidP="0B2DEDFC">
            <w:pPr>
              <w:spacing w:after="0" w:line="240" w:lineRule="auto"/>
              <w:jc w:val="center"/>
              <w:rPr>
                <w:rFonts w:cs="Arial"/>
                <w:color w:val="000000"/>
                <w:lang w:eastAsia="zh-CN" w:bidi="th-TH"/>
              </w:rPr>
            </w:pPr>
            <w:r w:rsidRPr="0B2DEDFC">
              <w:rPr>
                <w:rFonts w:cs="Arial"/>
                <w:color w:val="000000" w:themeColor="text1"/>
                <w:lang w:eastAsia="zh-CN" w:bidi="th-TH"/>
              </w:rPr>
              <w:t>1,000</w:t>
            </w:r>
          </w:p>
        </w:tc>
      </w:tr>
      <w:tr w:rsidR="00F40F30" w:rsidRPr="003A7C01" w14:paraId="5F5037E4" w14:textId="77777777" w:rsidTr="00B067B4">
        <w:trPr>
          <w:trHeight w:val="856"/>
        </w:trPr>
        <w:tc>
          <w:tcPr>
            <w:tcW w:w="4158" w:type="dxa"/>
            <w:shd w:val="clear" w:color="auto" w:fill="auto"/>
            <w:vAlign w:val="center"/>
            <w:hideMark/>
          </w:tcPr>
          <w:p w14:paraId="42DF1C2A" w14:textId="77777777" w:rsidR="00F40F30" w:rsidRPr="003A7C01" w:rsidRDefault="00F40F30" w:rsidP="00417688">
            <w:pPr>
              <w:spacing w:after="0" w:line="240" w:lineRule="auto"/>
              <w:rPr>
                <w:rFonts w:cs="Arial"/>
                <w:color w:val="000000"/>
                <w:szCs w:val="22"/>
                <w:lang w:eastAsia="zh-CN" w:bidi="th-TH"/>
              </w:rPr>
            </w:pPr>
            <w:r w:rsidRPr="003A7C01">
              <w:rPr>
                <w:rFonts w:cs="Arial"/>
                <w:color w:val="000000"/>
                <w:szCs w:val="22"/>
                <w:lang w:eastAsia="zh-CN" w:bidi="th-TH"/>
              </w:rPr>
              <w:t>IFAS advocacy and self-advocacy</w:t>
            </w:r>
          </w:p>
        </w:tc>
        <w:tc>
          <w:tcPr>
            <w:tcW w:w="1890" w:type="dxa"/>
            <w:shd w:val="clear" w:color="auto" w:fill="auto"/>
            <w:vAlign w:val="center"/>
            <w:hideMark/>
          </w:tcPr>
          <w:p w14:paraId="2E650DC9" w14:textId="77777777" w:rsidR="0B2DEDFC" w:rsidRDefault="0B2DEDFC" w:rsidP="0B2DEDFC">
            <w:pPr>
              <w:spacing w:after="0" w:line="240" w:lineRule="auto"/>
              <w:jc w:val="center"/>
              <w:rPr>
                <w:rFonts w:cs="Arial"/>
                <w:color w:val="000000" w:themeColor="text1"/>
                <w:lang w:eastAsia="zh-CN" w:bidi="th-TH"/>
              </w:rPr>
            </w:pPr>
            <w:r w:rsidRPr="0B2DEDFC">
              <w:rPr>
                <w:rFonts w:cs="Arial"/>
                <w:color w:val="000000" w:themeColor="text1"/>
                <w:lang w:eastAsia="zh-CN" w:bidi="th-TH"/>
              </w:rPr>
              <w:t>730</w:t>
            </w:r>
          </w:p>
        </w:tc>
        <w:tc>
          <w:tcPr>
            <w:tcW w:w="1890" w:type="dxa"/>
            <w:shd w:val="clear" w:color="auto" w:fill="D9D9D9" w:themeFill="background1" w:themeFillShade="D9"/>
            <w:vAlign w:val="center"/>
            <w:hideMark/>
          </w:tcPr>
          <w:p w14:paraId="662DD450" w14:textId="7923BA24" w:rsidR="00F40F30" w:rsidRPr="003A7C01" w:rsidRDefault="78C11FE2" w:rsidP="0B2DEDFC">
            <w:pPr>
              <w:spacing w:after="0" w:line="240" w:lineRule="auto"/>
              <w:jc w:val="center"/>
              <w:rPr>
                <w:rFonts w:cs="Arial"/>
                <w:color w:val="000000"/>
                <w:lang w:eastAsia="zh-CN" w:bidi="th-TH"/>
              </w:rPr>
            </w:pPr>
            <w:r w:rsidRPr="0B2DEDFC">
              <w:rPr>
                <w:rFonts w:cs="Arial"/>
                <w:color w:val="000000" w:themeColor="text1"/>
                <w:lang w:eastAsia="zh-CN" w:bidi="th-TH"/>
              </w:rPr>
              <w:t>834</w:t>
            </w:r>
          </w:p>
        </w:tc>
        <w:tc>
          <w:tcPr>
            <w:tcW w:w="1890" w:type="dxa"/>
            <w:shd w:val="clear" w:color="auto" w:fill="auto"/>
            <w:vAlign w:val="center"/>
            <w:hideMark/>
          </w:tcPr>
          <w:p w14:paraId="0736E086" w14:textId="6D2141DA" w:rsidR="00F40F30" w:rsidRPr="003A7C01" w:rsidRDefault="78C11FE2" w:rsidP="0B2DEDFC">
            <w:pPr>
              <w:spacing w:after="0" w:line="240" w:lineRule="auto"/>
              <w:jc w:val="center"/>
              <w:rPr>
                <w:rFonts w:cs="Arial"/>
                <w:color w:val="000000"/>
                <w:lang w:eastAsia="zh-CN" w:bidi="th-TH"/>
              </w:rPr>
            </w:pPr>
            <w:r w:rsidRPr="0B2DEDFC">
              <w:rPr>
                <w:rFonts w:cs="Arial"/>
                <w:color w:val="000000" w:themeColor="text1"/>
                <w:lang w:eastAsia="zh-CN" w:bidi="th-TH"/>
              </w:rPr>
              <w:t>800</w:t>
            </w:r>
          </w:p>
        </w:tc>
      </w:tr>
    </w:tbl>
    <w:p w14:paraId="4B50D7AB" w14:textId="77777777" w:rsidR="009656BE" w:rsidRPr="00B067B4" w:rsidRDefault="009656BE" w:rsidP="009656BE">
      <w:pPr>
        <w:pStyle w:val="Heading2"/>
      </w:pPr>
      <w:r w:rsidRPr="79F055BD">
        <w:rPr>
          <w:rFonts w:eastAsia="Arial Bold"/>
        </w:rPr>
        <w:t>Finan</w:t>
      </w:r>
      <w:r>
        <w:rPr>
          <w:rFonts w:eastAsia="Arial Bold"/>
        </w:rPr>
        <w:t>c</w:t>
      </w:r>
      <w:r w:rsidRPr="79F055BD">
        <w:rPr>
          <w:rFonts w:eastAsia="Arial Bold"/>
        </w:rPr>
        <w:t>ial Summary</w:t>
      </w:r>
    </w:p>
    <w:p w14:paraId="55609AAC" w14:textId="5DF8F473" w:rsidR="003537A9" w:rsidRDefault="009656BE" w:rsidP="0B2DEDFC">
      <w:r w:rsidRPr="00C71959">
        <w:t xml:space="preserve">In quarter </w:t>
      </w:r>
      <w:r w:rsidR="42E3E62A" w:rsidRPr="00C71959">
        <w:t>four</w:t>
      </w:r>
      <w:r w:rsidRPr="00C71959">
        <w:t>, our consolidated operating position was a surplus of $</w:t>
      </w:r>
      <w:r w:rsidR="00C71959" w:rsidRPr="00C71959">
        <w:t>4.7</w:t>
      </w:r>
      <w:r w:rsidRPr="00C71959">
        <w:t xml:space="preserve"> million</w:t>
      </w:r>
      <w:r w:rsidRPr="009A3EF1">
        <w:t xml:space="preserve">. </w:t>
      </w:r>
      <w:r w:rsidR="009B365E">
        <w:rPr>
          <w:rStyle w:val="normaltextrun"/>
          <w:rFonts w:cs="Arial"/>
          <w:color w:val="000000"/>
          <w:szCs w:val="22"/>
          <w:shd w:val="clear" w:color="auto" w:fill="FFFFFF"/>
        </w:rPr>
        <w:t>T</w:t>
      </w:r>
      <w:r w:rsidR="00182437">
        <w:rPr>
          <w:rStyle w:val="normaltextrun"/>
          <w:rFonts w:cs="Arial"/>
          <w:color w:val="000000"/>
          <w:szCs w:val="22"/>
          <w:shd w:val="clear" w:color="auto" w:fill="FFFFFF"/>
        </w:rPr>
        <w:t xml:space="preserve">he result </w:t>
      </w:r>
      <w:r w:rsidR="00B061F7">
        <w:rPr>
          <w:rStyle w:val="normaltextrun"/>
          <w:rFonts w:cs="Arial"/>
          <w:color w:val="000000"/>
          <w:szCs w:val="22"/>
          <w:shd w:val="clear" w:color="auto" w:fill="FFFFFF"/>
        </w:rPr>
        <w:t>was</w:t>
      </w:r>
      <w:r w:rsidR="00182437">
        <w:rPr>
          <w:rStyle w:val="normaltextrun"/>
          <w:rFonts w:cs="Arial"/>
          <w:color w:val="000000"/>
          <w:szCs w:val="22"/>
          <w:shd w:val="clear" w:color="auto" w:fill="FFFFFF"/>
        </w:rPr>
        <w:t xml:space="preserve"> impacted by the timing of specific purpose </w:t>
      </w:r>
      <w:r w:rsidR="00187B17">
        <w:rPr>
          <w:rStyle w:val="normaltextrun"/>
          <w:rFonts w:cs="Arial"/>
          <w:color w:val="000000"/>
          <w:szCs w:val="22"/>
          <w:shd w:val="clear" w:color="auto" w:fill="FFFFFF"/>
        </w:rPr>
        <w:t xml:space="preserve">and </w:t>
      </w:r>
      <w:r w:rsidR="00182437">
        <w:rPr>
          <w:rStyle w:val="normaltextrun"/>
          <w:rFonts w:cs="Arial"/>
          <w:color w:val="000000"/>
          <w:szCs w:val="22"/>
          <w:shd w:val="clear" w:color="auto" w:fill="FFFFFF"/>
        </w:rPr>
        <w:t>initiative funding</w:t>
      </w:r>
      <w:r w:rsidR="00D127DF">
        <w:rPr>
          <w:rStyle w:val="normaltextrun"/>
          <w:rFonts w:cs="Arial"/>
          <w:color w:val="000000"/>
          <w:szCs w:val="22"/>
          <w:shd w:val="clear" w:color="auto" w:fill="FFFFFF"/>
        </w:rPr>
        <w:t xml:space="preserve">, </w:t>
      </w:r>
      <w:r w:rsidR="00182437">
        <w:rPr>
          <w:rStyle w:val="normaltextrun"/>
          <w:rFonts w:cs="Arial"/>
          <w:color w:val="000000"/>
          <w:szCs w:val="22"/>
          <w:shd w:val="clear" w:color="auto" w:fill="FFFFFF"/>
        </w:rPr>
        <w:t xml:space="preserve">which </w:t>
      </w:r>
      <w:r w:rsidR="00D127DF">
        <w:rPr>
          <w:rStyle w:val="normaltextrun"/>
          <w:rFonts w:cs="Arial"/>
          <w:color w:val="000000"/>
          <w:szCs w:val="22"/>
          <w:shd w:val="clear" w:color="auto" w:fill="FFFFFF"/>
        </w:rPr>
        <w:t>was</w:t>
      </w:r>
      <w:r w:rsidR="00182437">
        <w:rPr>
          <w:rStyle w:val="normaltextrun"/>
          <w:rFonts w:cs="Arial"/>
          <w:color w:val="000000"/>
          <w:szCs w:val="22"/>
          <w:shd w:val="clear" w:color="auto" w:fill="FFFFFF"/>
        </w:rPr>
        <w:t xml:space="preserve"> reported as a surplus this year. There are </w:t>
      </w:r>
      <w:r w:rsidR="00941B02">
        <w:rPr>
          <w:rStyle w:val="normaltextrun"/>
          <w:rFonts w:cs="Arial"/>
          <w:color w:val="000000"/>
          <w:szCs w:val="22"/>
          <w:shd w:val="clear" w:color="auto" w:fill="FFFFFF"/>
        </w:rPr>
        <w:t>many</w:t>
      </w:r>
      <w:r w:rsidR="00182437">
        <w:rPr>
          <w:rStyle w:val="normaltextrun"/>
          <w:rFonts w:cs="Arial"/>
          <w:color w:val="000000"/>
          <w:szCs w:val="22"/>
          <w:shd w:val="clear" w:color="auto" w:fill="FFFFFF"/>
        </w:rPr>
        <w:t xml:space="preserve"> drivers for the surplus including the </w:t>
      </w:r>
      <w:r w:rsidR="00E25668">
        <w:rPr>
          <w:rStyle w:val="normaltextrun"/>
          <w:rFonts w:cs="Arial"/>
          <w:color w:val="000000"/>
          <w:szCs w:val="22"/>
          <w:shd w:val="clear" w:color="auto" w:fill="FFFFFF"/>
        </w:rPr>
        <w:t xml:space="preserve">late </w:t>
      </w:r>
      <w:r w:rsidR="00182437">
        <w:rPr>
          <w:rStyle w:val="normaltextrun"/>
          <w:rFonts w:cs="Arial"/>
          <w:color w:val="000000"/>
          <w:szCs w:val="22"/>
          <w:shd w:val="clear" w:color="auto" w:fill="FFFFFF"/>
        </w:rPr>
        <w:t>timing of</w:t>
      </w:r>
      <w:r w:rsidR="00296755">
        <w:rPr>
          <w:rStyle w:val="normaltextrun"/>
          <w:rFonts w:cs="Arial"/>
          <w:color w:val="000000"/>
          <w:szCs w:val="22"/>
          <w:shd w:val="clear" w:color="auto" w:fill="FFFFFF"/>
        </w:rPr>
        <w:t xml:space="preserve"> funding advice received during the year and alignment with</w:t>
      </w:r>
      <w:r w:rsidR="00182437">
        <w:rPr>
          <w:rStyle w:val="normaltextrun"/>
          <w:rFonts w:cs="Arial"/>
          <w:color w:val="000000"/>
          <w:szCs w:val="22"/>
          <w:shd w:val="clear" w:color="auto" w:fill="FFFFFF"/>
        </w:rPr>
        <w:t xml:space="preserve"> court activity which may span multiple years. Th</w:t>
      </w:r>
      <w:r w:rsidR="00D127DF">
        <w:rPr>
          <w:rStyle w:val="normaltextrun"/>
          <w:rFonts w:cs="Arial"/>
          <w:color w:val="000000"/>
          <w:szCs w:val="22"/>
          <w:shd w:val="clear" w:color="auto" w:fill="FFFFFF"/>
        </w:rPr>
        <w:t>ese</w:t>
      </w:r>
      <w:r w:rsidR="00E11852">
        <w:rPr>
          <w:rStyle w:val="normaltextrun"/>
          <w:rFonts w:cs="Arial"/>
          <w:color w:val="000000"/>
          <w:szCs w:val="22"/>
          <w:shd w:val="clear" w:color="auto" w:fill="FFFFFF"/>
        </w:rPr>
        <w:t xml:space="preserve"> surplus</w:t>
      </w:r>
      <w:r w:rsidR="00F17C08">
        <w:rPr>
          <w:rStyle w:val="normaltextrun"/>
          <w:rFonts w:cs="Arial"/>
          <w:color w:val="000000"/>
          <w:szCs w:val="22"/>
          <w:shd w:val="clear" w:color="auto" w:fill="FFFFFF"/>
        </w:rPr>
        <w:t xml:space="preserve"> fund</w:t>
      </w:r>
      <w:r w:rsidR="00D127DF">
        <w:rPr>
          <w:rStyle w:val="normaltextrun"/>
          <w:rFonts w:cs="Arial"/>
          <w:color w:val="000000"/>
          <w:szCs w:val="22"/>
          <w:shd w:val="clear" w:color="auto" w:fill="FFFFFF"/>
        </w:rPr>
        <w:t>s</w:t>
      </w:r>
      <w:r w:rsidR="00182437">
        <w:rPr>
          <w:rStyle w:val="normaltextrun"/>
          <w:rFonts w:cs="Arial"/>
          <w:color w:val="000000"/>
          <w:szCs w:val="22"/>
          <w:shd w:val="clear" w:color="auto" w:fill="FFFFFF"/>
        </w:rPr>
        <w:t xml:space="preserve"> remain committed </w:t>
      </w:r>
      <w:r w:rsidR="00941B02">
        <w:rPr>
          <w:rStyle w:val="normaltextrun"/>
          <w:rFonts w:cs="Arial"/>
          <w:color w:val="000000"/>
          <w:szCs w:val="22"/>
          <w:shd w:val="clear" w:color="auto" w:fill="FFFFFF"/>
        </w:rPr>
        <w:t>to</w:t>
      </w:r>
      <w:r w:rsidR="00182437">
        <w:rPr>
          <w:rStyle w:val="normaltextrun"/>
          <w:rFonts w:cs="Arial"/>
          <w:color w:val="000000"/>
          <w:szCs w:val="22"/>
          <w:shd w:val="clear" w:color="auto" w:fill="FFFFFF"/>
        </w:rPr>
        <w:t xml:space="preserve"> meet</w:t>
      </w:r>
      <w:r w:rsidR="00B27091">
        <w:rPr>
          <w:rStyle w:val="normaltextrun"/>
          <w:rFonts w:cs="Arial"/>
          <w:color w:val="000000"/>
          <w:szCs w:val="22"/>
          <w:shd w:val="clear" w:color="auto" w:fill="FFFFFF"/>
        </w:rPr>
        <w:t>ing service</w:t>
      </w:r>
      <w:r w:rsidR="00182437">
        <w:rPr>
          <w:rStyle w:val="normaltextrun"/>
          <w:rFonts w:cs="Arial"/>
          <w:color w:val="000000"/>
          <w:szCs w:val="22"/>
          <w:shd w:val="clear" w:color="auto" w:fill="FFFFFF"/>
        </w:rPr>
        <w:t xml:space="preserve"> obligations in future years</w:t>
      </w:r>
      <w:r w:rsidR="00296755">
        <w:rPr>
          <w:rStyle w:val="normaltextrun"/>
          <w:rFonts w:cs="Arial"/>
          <w:color w:val="000000"/>
          <w:szCs w:val="22"/>
          <w:shd w:val="clear" w:color="auto" w:fill="FFFFFF"/>
        </w:rPr>
        <w:t xml:space="preserve"> </w:t>
      </w:r>
      <w:r w:rsidR="00240A0F">
        <w:rPr>
          <w:rStyle w:val="normaltextrun"/>
          <w:rFonts w:cs="Arial"/>
          <w:color w:val="000000"/>
          <w:szCs w:val="22"/>
          <w:shd w:val="clear" w:color="auto" w:fill="FFFFFF"/>
        </w:rPr>
        <w:t xml:space="preserve">and </w:t>
      </w:r>
      <w:r w:rsidR="00296755">
        <w:rPr>
          <w:rStyle w:val="normaltextrun"/>
          <w:rFonts w:cs="Arial"/>
          <w:color w:val="000000"/>
          <w:szCs w:val="22"/>
          <w:shd w:val="clear" w:color="auto" w:fill="FFFFFF"/>
        </w:rPr>
        <w:t>contribut</w:t>
      </w:r>
      <w:r w:rsidR="00240A0F">
        <w:rPr>
          <w:rStyle w:val="normaltextrun"/>
          <w:rFonts w:cs="Arial"/>
          <w:color w:val="000000"/>
          <w:szCs w:val="22"/>
          <w:shd w:val="clear" w:color="auto" w:fill="FFFFFF"/>
        </w:rPr>
        <w:t xml:space="preserve">e </w:t>
      </w:r>
      <w:r w:rsidR="00296755">
        <w:rPr>
          <w:rStyle w:val="normaltextrun"/>
          <w:rFonts w:cs="Arial"/>
          <w:color w:val="000000"/>
          <w:szCs w:val="22"/>
          <w:shd w:val="clear" w:color="auto" w:fill="FFFFFF"/>
        </w:rPr>
        <w:t>to the projected deficit in 2024-25</w:t>
      </w:r>
      <w:r w:rsidR="00182437">
        <w:rPr>
          <w:rStyle w:val="normaltextrun"/>
          <w:rFonts w:cs="Arial"/>
          <w:color w:val="000000"/>
          <w:szCs w:val="22"/>
          <w:shd w:val="clear" w:color="auto" w:fill="FFFFFF"/>
        </w:rPr>
        <w:t>.</w:t>
      </w:r>
      <w:r w:rsidR="00F17C08">
        <w:rPr>
          <w:rStyle w:val="normaltextrun"/>
          <w:rFonts w:cs="Arial"/>
          <w:color w:val="000000"/>
          <w:szCs w:val="22"/>
          <w:shd w:val="clear" w:color="auto" w:fill="FFFFFF"/>
        </w:rPr>
        <w:t xml:space="preserve"> </w:t>
      </w:r>
      <w:r w:rsidR="00625E50" w:rsidRPr="00625E50">
        <w:t>Demand</w:t>
      </w:r>
      <w:r w:rsidRPr="00625E50">
        <w:t xml:space="preserve"> for </w:t>
      </w:r>
      <w:r w:rsidR="006832A5" w:rsidRPr="00625E50">
        <w:t xml:space="preserve">our core </w:t>
      </w:r>
      <w:r w:rsidRPr="00625E50">
        <w:t xml:space="preserve">services </w:t>
      </w:r>
      <w:r w:rsidR="00625E50" w:rsidRPr="00625E50">
        <w:t xml:space="preserve">continue to </w:t>
      </w:r>
      <w:r w:rsidRPr="00625E50">
        <w:t>exceed</w:t>
      </w:r>
      <w:r w:rsidR="00625E50" w:rsidRPr="00625E50">
        <w:t xml:space="preserve"> </w:t>
      </w:r>
      <w:r w:rsidRPr="00625E50">
        <w:t>our base funding levels</w:t>
      </w:r>
      <w:r w:rsidR="00F83016" w:rsidRPr="00625E50">
        <w:t xml:space="preserve">, </w:t>
      </w:r>
      <w:r w:rsidRPr="00625E50">
        <w:t xml:space="preserve">with a </w:t>
      </w:r>
      <w:r w:rsidR="00011FB7">
        <w:t>base</w:t>
      </w:r>
      <w:r w:rsidR="00011FB7" w:rsidRPr="00625E50">
        <w:t xml:space="preserve"> </w:t>
      </w:r>
      <w:r w:rsidRPr="00625E50">
        <w:t xml:space="preserve">funding </w:t>
      </w:r>
      <w:r w:rsidR="006832A5" w:rsidRPr="00625E50">
        <w:t>deficit</w:t>
      </w:r>
      <w:r w:rsidR="00371F0C">
        <w:t xml:space="preserve"> also projected </w:t>
      </w:r>
      <w:r w:rsidR="00011FB7">
        <w:t xml:space="preserve">in the </w:t>
      </w:r>
      <w:r w:rsidR="003537A9">
        <w:t>quarter one 2024-25</w:t>
      </w:r>
      <w:r w:rsidRPr="009D0638">
        <w:t>.</w:t>
      </w:r>
      <w:r w:rsidRPr="00625E50">
        <w:t xml:space="preserve"> </w:t>
      </w:r>
    </w:p>
    <w:p w14:paraId="24E7FBF8" w14:textId="392548A1" w:rsidR="009656BE" w:rsidRDefault="009656BE" w:rsidP="0B2DEDFC">
      <w:pPr>
        <w:rPr>
          <w:highlight w:val="red"/>
        </w:rPr>
      </w:pPr>
      <w:r w:rsidRPr="006C1256">
        <w:lastRenderedPageBreak/>
        <w:t>Our cash balance remains high</w:t>
      </w:r>
      <w:r w:rsidR="00D12F9B">
        <w:t xml:space="preserve">er than </w:t>
      </w:r>
      <w:r w:rsidR="00E170A4">
        <w:t>expected</w:t>
      </w:r>
      <w:r w:rsidR="008C3BC0">
        <w:t xml:space="preserve"> </w:t>
      </w:r>
      <w:r w:rsidRPr="006C1256">
        <w:t>and in the short term</w:t>
      </w:r>
      <w:r w:rsidR="008C3BC0">
        <w:t xml:space="preserve"> </w:t>
      </w:r>
      <w:r w:rsidRPr="006C1256">
        <w:t xml:space="preserve">we will use these funds to meet current demand. </w:t>
      </w:r>
      <w:r w:rsidR="00D127DF">
        <w:rPr>
          <w:rStyle w:val="normaltextrun"/>
          <w:rFonts w:cs="Arial"/>
          <w:color w:val="000000"/>
          <w:szCs w:val="22"/>
          <w:shd w:val="clear" w:color="auto" w:fill="FFFFFF"/>
        </w:rPr>
        <w:t>Our</w:t>
      </w:r>
      <w:r w:rsidR="00B26C24">
        <w:rPr>
          <w:rStyle w:val="normaltextrun"/>
          <w:rFonts w:cs="Arial"/>
          <w:color w:val="000000"/>
          <w:szCs w:val="22"/>
          <w:shd w:val="clear" w:color="auto" w:fill="FFFFFF"/>
        </w:rPr>
        <w:t xml:space="preserve"> cash reserves are not discretionary and need to be carefully managed to ensure we can continue to meet our existing commitments. This includes grants of legal assistance of up to $72 million which have already been approved and committed to</w:t>
      </w:r>
      <w:r w:rsidR="00BF5812">
        <w:rPr>
          <w:rStyle w:val="normaltextrun"/>
          <w:rFonts w:cs="Arial"/>
          <w:color w:val="000000"/>
          <w:szCs w:val="22"/>
          <w:shd w:val="clear" w:color="auto" w:fill="FFFFFF"/>
        </w:rPr>
        <w:t>,</w:t>
      </w:r>
      <w:r w:rsidR="00B26C24">
        <w:rPr>
          <w:rStyle w:val="normaltextrun"/>
          <w:rFonts w:cs="Arial"/>
          <w:color w:val="000000"/>
          <w:szCs w:val="22"/>
          <w:shd w:val="clear" w:color="auto" w:fill="FFFFFF"/>
        </w:rPr>
        <w:t xml:space="preserve"> but where the work has not been completed. In addition, </w:t>
      </w:r>
      <w:r w:rsidR="000B18B2">
        <w:rPr>
          <w:rStyle w:val="normaltextrun"/>
          <w:rFonts w:cs="Arial"/>
          <w:color w:val="000000"/>
          <w:szCs w:val="22"/>
          <w:shd w:val="clear" w:color="auto" w:fill="FFFFFF"/>
        </w:rPr>
        <w:t>the cash</w:t>
      </w:r>
      <w:r w:rsidR="00B26C24">
        <w:rPr>
          <w:rStyle w:val="normaltextrun"/>
          <w:rFonts w:cs="Arial"/>
          <w:color w:val="000000"/>
          <w:szCs w:val="22"/>
          <w:shd w:val="clear" w:color="auto" w:fill="FFFFFF"/>
        </w:rPr>
        <w:t xml:space="preserve"> balance is also required for the replacement of assets to ensure </w:t>
      </w:r>
      <w:r w:rsidR="000B18B2">
        <w:rPr>
          <w:rStyle w:val="normaltextrun"/>
          <w:rFonts w:cs="Arial"/>
          <w:color w:val="000000"/>
          <w:szCs w:val="22"/>
          <w:shd w:val="clear" w:color="auto" w:fill="FFFFFF"/>
        </w:rPr>
        <w:t xml:space="preserve">VLA </w:t>
      </w:r>
      <w:r w:rsidR="00B26C24">
        <w:rPr>
          <w:rStyle w:val="normaltextrun"/>
          <w:rFonts w:cs="Arial"/>
          <w:color w:val="000000"/>
          <w:szCs w:val="22"/>
          <w:shd w:val="clear" w:color="auto" w:fill="FFFFFF"/>
        </w:rPr>
        <w:t>can continue to meet service demands and protect the safety and well</w:t>
      </w:r>
      <w:r w:rsidR="000B18B2">
        <w:rPr>
          <w:rStyle w:val="normaltextrun"/>
          <w:rFonts w:cs="Arial"/>
          <w:color w:val="000000"/>
          <w:szCs w:val="22"/>
          <w:shd w:val="clear" w:color="auto" w:fill="FFFFFF"/>
        </w:rPr>
        <w:t>-</w:t>
      </w:r>
      <w:r w:rsidR="00B26C24">
        <w:rPr>
          <w:rStyle w:val="normaltextrun"/>
          <w:rFonts w:cs="Arial"/>
          <w:color w:val="000000"/>
          <w:szCs w:val="22"/>
          <w:shd w:val="clear" w:color="auto" w:fill="FFFFFF"/>
        </w:rPr>
        <w:t>being of staff.</w:t>
      </w:r>
      <w:r>
        <w:t xml:space="preserve"> </w:t>
      </w:r>
    </w:p>
    <w:p w14:paraId="72BA14CF" w14:textId="5DB7CE19" w:rsidR="009656BE" w:rsidRPr="00317463" w:rsidRDefault="001C3BEC" w:rsidP="0B2DEDFC">
      <w:pPr>
        <w:rPr>
          <w:highlight w:val="red"/>
        </w:rPr>
      </w:pPr>
      <w:r w:rsidRPr="00BD3236">
        <w:t xml:space="preserve">We project current cash balances will be sufficient to meet </w:t>
      </w:r>
      <w:r w:rsidR="00BC562F" w:rsidRPr="00BD3236">
        <w:t xml:space="preserve">the projected </w:t>
      </w:r>
      <w:r w:rsidRPr="00BD3236">
        <w:t>deficit in 2024-25.</w:t>
      </w:r>
      <w:r w:rsidR="00CE20FF" w:rsidRPr="00BD3236">
        <w:t xml:space="preserve"> </w:t>
      </w:r>
      <w:r w:rsidRPr="00BD3236">
        <w:t>However</w:t>
      </w:r>
      <w:r w:rsidRPr="00534EE7">
        <w:t>, l</w:t>
      </w:r>
      <w:r w:rsidR="009656BE" w:rsidRPr="00534EE7">
        <w:t xml:space="preserve">ong-term projections continue to highlight that base funding is insufficient to meet projected demand. </w:t>
      </w:r>
      <w:r w:rsidR="008716F1">
        <w:rPr>
          <w:rStyle w:val="normaltextrun"/>
          <w:rFonts w:cs="Arial"/>
          <w:color w:val="000000"/>
          <w:szCs w:val="22"/>
          <w:shd w:val="clear" w:color="auto" w:fill="FFFFFF"/>
        </w:rPr>
        <w:t xml:space="preserve">Further analysis will be undertaken on the impact of our </w:t>
      </w:r>
      <w:r w:rsidR="00371F0C">
        <w:rPr>
          <w:rStyle w:val="normaltextrun"/>
          <w:rFonts w:cs="Arial"/>
          <w:color w:val="000000"/>
          <w:szCs w:val="22"/>
          <w:shd w:val="clear" w:color="auto" w:fill="FFFFFF"/>
        </w:rPr>
        <w:t xml:space="preserve">continued </w:t>
      </w:r>
      <w:r w:rsidR="008716F1">
        <w:rPr>
          <w:rStyle w:val="normaltextrun"/>
          <w:rFonts w:cs="Arial"/>
          <w:color w:val="000000"/>
          <w:szCs w:val="22"/>
          <w:shd w:val="clear" w:color="auto" w:fill="FFFFFF"/>
        </w:rPr>
        <w:t>early intervention initiatives</w:t>
      </w:r>
      <w:r w:rsidR="00371F0C">
        <w:rPr>
          <w:rStyle w:val="normaltextrun"/>
          <w:rFonts w:cs="Arial"/>
          <w:color w:val="000000"/>
          <w:szCs w:val="22"/>
          <w:shd w:val="clear" w:color="auto" w:fill="FFFFFF"/>
        </w:rPr>
        <w:t xml:space="preserve"> </w:t>
      </w:r>
      <w:r w:rsidR="008716F1">
        <w:rPr>
          <w:rStyle w:val="normaltextrun"/>
          <w:rFonts w:cs="Arial"/>
          <w:color w:val="000000"/>
          <w:szCs w:val="22"/>
          <w:shd w:val="clear" w:color="auto" w:fill="FFFFFF"/>
        </w:rPr>
        <w:t>and the legislative changes (for example, changes to bail law) on the level of demand. Without additional funding, we will need to consider service reductions, whilst carefully managing our cash reserves. Any service reductions would be for court-based services, following consultation with sector partners.</w:t>
      </w:r>
    </w:p>
    <w:p w14:paraId="67BD407C" w14:textId="77777777" w:rsidR="009656BE" w:rsidRPr="006663C9" w:rsidRDefault="009656BE" w:rsidP="006663C9">
      <w:pPr>
        <w:pStyle w:val="Tableheader"/>
      </w:pPr>
      <w:r w:rsidRPr="006663C9">
        <w:rPr>
          <w:rStyle w:val="Heading3Char"/>
          <w:b/>
          <w:bCs/>
          <w:sz w:val="24"/>
          <w:szCs w:val="24"/>
        </w:rPr>
        <w:t>Table 2.1 Total revenue breakdown ($’000</w:t>
      </w:r>
      <w:r w:rsidRPr="006663C9">
        <w:t xml:space="preserve">) </w:t>
      </w:r>
    </w:p>
    <w:tbl>
      <w:tblPr>
        <w:tblpPr w:leftFromText="180" w:rightFromText="180" w:vertAnchor="text" w:horzAnchor="margin" w:tblpY="7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807"/>
        <w:gridCol w:w="1807"/>
        <w:gridCol w:w="1807"/>
      </w:tblGrid>
      <w:tr w:rsidR="00181C91" w:rsidRPr="003A7C01" w14:paraId="45218C06" w14:textId="77777777" w:rsidTr="000843DB">
        <w:trPr>
          <w:trHeight w:val="200"/>
        </w:trPr>
        <w:tc>
          <w:tcPr>
            <w:tcW w:w="4074" w:type="dxa"/>
            <w:vMerge w:val="restart"/>
            <w:shd w:val="clear" w:color="auto" w:fill="B59CC0"/>
            <w:vAlign w:val="center"/>
            <w:hideMark/>
          </w:tcPr>
          <w:p w14:paraId="54E770F5" w14:textId="77777777" w:rsidR="00181C91" w:rsidRPr="003A7C01" w:rsidRDefault="00181C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Revenue</w:t>
            </w:r>
            <w:r w:rsidRPr="003A7C01">
              <w:rPr>
                <w:rFonts w:cs="Arial"/>
                <w:color w:val="000000"/>
                <w:szCs w:val="22"/>
                <w:lang w:eastAsia="zh-CN" w:bidi="th-TH"/>
              </w:rPr>
              <w:t> </w:t>
            </w:r>
          </w:p>
        </w:tc>
        <w:tc>
          <w:tcPr>
            <w:tcW w:w="1807" w:type="dxa"/>
            <w:tcBorders>
              <w:bottom w:val="nil"/>
            </w:tcBorders>
            <w:shd w:val="clear" w:color="auto" w:fill="B59CC0"/>
            <w:vAlign w:val="center"/>
            <w:hideMark/>
          </w:tcPr>
          <w:p w14:paraId="5CA74BA8"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Q3</w:t>
            </w:r>
          </w:p>
        </w:tc>
        <w:tc>
          <w:tcPr>
            <w:tcW w:w="1807" w:type="dxa"/>
            <w:tcBorders>
              <w:bottom w:val="nil"/>
            </w:tcBorders>
            <w:shd w:val="clear" w:color="auto" w:fill="B59CC0"/>
            <w:vAlign w:val="center"/>
            <w:hideMark/>
          </w:tcPr>
          <w:p w14:paraId="6DDBBCD0" w14:textId="2CF6E421" w:rsidR="00181C91" w:rsidRPr="003A7C01" w:rsidRDefault="1C179972"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Q4</w:t>
            </w:r>
          </w:p>
        </w:tc>
        <w:tc>
          <w:tcPr>
            <w:tcW w:w="1807" w:type="dxa"/>
            <w:tcBorders>
              <w:bottom w:val="nil"/>
            </w:tcBorders>
            <w:shd w:val="clear" w:color="auto" w:fill="B59CC0"/>
            <w:vAlign w:val="center"/>
            <w:hideMark/>
          </w:tcPr>
          <w:p w14:paraId="21E7652F" w14:textId="24AA920E" w:rsidR="00181C91" w:rsidRPr="003A7C01" w:rsidRDefault="021D6073"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3E025FAB" w:rsidRPr="0B2DEDFC">
              <w:rPr>
                <w:rFonts w:cs="Arial"/>
                <w:b/>
                <w:bCs/>
                <w:color w:val="000000" w:themeColor="text1"/>
                <w:lang w:eastAsia="zh-CN" w:bidi="th-TH"/>
              </w:rPr>
              <w:t>1</w:t>
            </w:r>
            <w:r w:rsidRPr="0B2DEDFC">
              <w:rPr>
                <w:rFonts w:cs="Arial"/>
                <w:b/>
                <w:bCs/>
                <w:color w:val="000000" w:themeColor="text1"/>
                <w:lang w:eastAsia="zh-CN" w:bidi="th-TH"/>
              </w:rPr>
              <w:t xml:space="preserve"> 202</w:t>
            </w:r>
            <w:r w:rsidR="3C93DDF2" w:rsidRPr="0B2DEDFC">
              <w:rPr>
                <w:rFonts w:cs="Arial"/>
                <w:b/>
                <w:bCs/>
                <w:color w:val="000000" w:themeColor="text1"/>
                <w:lang w:eastAsia="zh-CN" w:bidi="th-TH"/>
              </w:rPr>
              <w:t>4</w:t>
            </w:r>
            <w:r w:rsidR="00C82810">
              <w:rPr>
                <w:rFonts w:cs="Arial"/>
                <w:b/>
                <w:bCs/>
                <w:color w:val="000000" w:themeColor="text1"/>
                <w:lang w:eastAsia="zh-CN" w:bidi="th-TH"/>
              </w:rPr>
              <w:t>–</w:t>
            </w:r>
            <w:r w:rsidRPr="0B2DEDFC">
              <w:rPr>
                <w:rFonts w:cs="Arial"/>
                <w:b/>
                <w:bCs/>
                <w:color w:val="000000" w:themeColor="text1"/>
                <w:lang w:eastAsia="zh-CN" w:bidi="th-TH"/>
              </w:rPr>
              <w:t>2</w:t>
            </w:r>
            <w:r w:rsidR="17D2C55D" w:rsidRPr="0B2DEDFC">
              <w:rPr>
                <w:rFonts w:cs="Arial"/>
                <w:b/>
                <w:bCs/>
                <w:color w:val="000000" w:themeColor="text1"/>
                <w:lang w:eastAsia="zh-CN" w:bidi="th-TH"/>
              </w:rPr>
              <w:t>5</w:t>
            </w:r>
          </w:p>
        </w:tc>
      </w:tr>
      <w:tr w:rsidR="00181C91" w:rsidRPr="003A7C01" w14:paraId="01DD16FE" w14:textId="77777777" w:rsidTr="000843DB">
        <w:trPr>
          <w:trHeight w:val="200"/>
        </w:trPr>
        <w:tc>
          <w:tcPr>
            <w:tcW w:w="4074" w:type="dxa"/>
            <w:vMerge/>
            <w:vAlign w:val="center"/>
            <w:hideMark/>
          </w:tcPr>
          <w:p w14:paraId="330594C0" w14:textId="77777777" w:rsidR="00181C91" w:rsidRPr="003A7C01" w:rsidRDefault="00181C91" w:rsidP="00417688">
            <w:pPr>
              <w:spacing w:after="0" w:line="240" w:lineRule="auto"/>
              <w:rPr>
                <w:rFonts w:cs="Arial"/>
                <w:b/>
                <w:bCs/>
                <w:color w:val="000000"/>
                <w:szCs w:val="22"/>
                <w:lang w:eastAsia="zh-CN" w:bidi="th-TH"/>
              </w:rPr>
            </w:pPr>
          </w:p>
        </w:tc>
        <w:tc>
          <w:tcPr>
            <w:tcW w:w="1807" w:type="dxa"/>
            <w:tcBorders>
              <w:top w:val="nil"/>
            </w:tcBorders>
            <w:shd w:val="clear" w:color="auto" w:fill="B59CC0"/>
            <w:vAlign w:val="center"/>
            <w:hideMark/>
          </w:tcPr>
          <w:p w14:paraId="35075E5C" w14:textId="77777777" w:rsidR="0B2DEDFC" w:rsidRDefault="0B2DEDFC" w:rsidP="0B2DEDFC">
            <w:pPr>
              <w:spacing w:after="0" w:line="240" w:lineRule="auto"/>
              <w:jc w:val="center"/>
              <w:rPr>
                <w:rFonts w:cs="Arial"/>
                <w:b/>
                <w:bCs/>
                <w:color w:val="000000" w:themeColor="text1"/>
                <w:lang w:eastAsia="zh-CN" w:bidi="th-TH"/>
              </w:rPr>
            </w:pPr>
            <w:r w:rsidRPr="0B2DEDFC">
              <w:rPr>
                <w:rFonts w:cs="Arial"/>
                <w:b/>
                <w:bCs/>
                <w:color w:val="000000" w:themeColor="text1"/>
                <w:lang w:eastAsia="zh-CN" w:bidi="th-TH"/>
              </w:rPr>
              <w:t>2023-24 </w:t>
            </w:r>
          </w:p>
        </w:tc>
        <w:tc>
          <w:tcPr>
            <w:tcW w:w="1807" w:type="dxa"/>
            <w:tcBorders>
              <w:top w:val="nil"/>
            </w:tcBorders>
            <w:shd w:val="clear" w:color="auto" w:fill="B59CC0"/>
            <w:vAlign w:val="center"/>
            <w:hideMark/>
          </w:tcPr>
          <w:p w14:paraId="41789E68"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07" w:type="dxa"/>
            <w:tcBorders>
              <w:top w:val="nil"/>
            </w:tcBorders>
            <w:shd w:val="clear" w:color="auto" w:fill="B59CC0"/>
            <w:vAlign w:val="center"/>
            <w:hideMark/>
          </w:tcPr>
          <w:p w14:paraId="4B61CC07" w14:textId="77777777" w:rsidR="00181C91" w:rsidRPr="003A7C01" w:rsidRDefault="00181C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181C91" w:rsidRPr="003A7C01" w14:paraId="699DFD6F" w14:textId="77777777" w:rsidTr="00B067B4">
        <w:trPr>
          <w:trHeight w:val="515"/>
        </w:trPr>
        <w:tc>
          <w:tcPr>
            <w:tcW w:w="4074" w:type="dxa"/>
            <w:shd w:val="clear" w:color="auto" w:fill="auto"/>
            <w:vAlign w:val="center"/>
            <w:hideMark/>
          </w:tcPr>
          <w:p w14:paraId="19C7B7B6" w14:textId="73276731"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Commonwealth</w:t>
            </w:r>
            <w:r w:rsidR="00296755">
              <w:rPr>
                <w:rFonts w:cs="Arial"/>
                <w:color w:val="000000"/>
                <w:szCs w:val="22"/>
                <w:lang w:eastAsia="zh-CN" w:bidi="th-TH"/>
              </w:rPr>
              <w:t xml:space="preserve"> </w:t>
            </w:r>
            <w:r w:rsidR="00296755">
              <w:rPr>
                <w:lang w:eastAsia="zh-CN" w:bidi="th-TH"/>
              </w:rPr>
              <w:t>Government</w:t>
            </w:r>
            <w:r w:rsidRPr="003A7C01">
              <w:rPr>
                <w:rFonts w:cs="Arial"/>
                <w:color w:val="000000"/>
                <w:szCs w:val="22"/>
                <w:lang w:eastAsia="zh-CN" w:bidi="th-TH"/>
              </w:rPr>
              <w:t xml:space="preserve"> – grants </w:t>
            </w:r>
          </w:p>
        </w:tc>
        <w:tc>
          <w:tcPr>
            <w:tcW w:w="1807" w:type="dxa"/>
            <w:shd w:val="clear" w:color="auto" w:fill="auto"/>
            <w:vAlign w:val="center"/>
            <w:hideMark/>
          </w:tcPr>
          <w:p w14:paraId="620AB593"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 xml:space="preserve">           25,494 </w:t>
            </w:r>
          </w:p>
        </w:tc>
        <w:tc>
          <w:tcPr>
            <w:tcW w:w="1807" w:type="dxa"/>
            <w:shd w:val="clear" w:color="auto" w:fill="D9D9D9" w:themeFill="background1" w:themeFillShade="D9"/>
            <w:vAlign w:val="center"/>
            <w:hideMark/>
          </w:tcPr>
          <w:p w14:paraId="231B1648" w14:textId="44D3A39C" w:rsidR="00181C91" w:rsidRPr="003A7C01" w:rsidRDefault="00B10B04" w:rsidP="0B2DEDFC">
            <w:pPr>
              <w:spacing w:after="0" w:line="240" w:lineRule="auto"/>
              <w:jc w:val="right"/>
              <w:rPr>
                <w:rFonts w:cs="Arial"/>
                <w:color w:val="000000"/>
                <w:lang w:eastAsia="zh-CN" w:bidi="th-TH"/>
              </w:rPr>
            </w:pPr>
            <w:r>
              <w:rPr>
                <w:rFonts w:cs="Arial"/>
                <w:color w:val="000000"/>
                <w:lang w:eastAsia="zh-CN" w:bidi="th-TH"/>
              </w:rPr>
              <w:t>31,141</w:t>
            </w:r>
          </w:p>
        </w:tc>
        <w:tc>
          <w:tcPr>
            <w:tcW w:w="1807" w:type="dxa"/>
            <w:shd w:val="clear" w:color="auto" w:fill="auto"/>
            <w:vAlign w:val="center"/>
            <w:hideMark/>
          </w:tcPr>
          <w:p w14:paraId="6132817A" w14:textId="5A37FAAD" w:rsidR="00181C91" w:rsidRPr="003A7C01" w:rsidRDefault="00131B6B" w:rsidP="0B2DEDFC">
            <w:pPr>
              <w:spacing w:after="0" w:line="240" w:lineRule="auto"/>
              <w:jc w:val="right"/>
              <w:rPr>
                <w:rFonts w:cs="Arial"/>
                <w:color w:val="000000"/>
                <w:lang w:eastAsia="zh-CN" w:bidi="th-TH"/>
              </w:rPr>
            </w:pPr>
            <w:r>
              <w:rPr>
                <w:rFonts w:cs="Arial"/>
                <w:color w:val="000000"/>
                <w:lang w:eastAsia="zh-CN" w:bidi="th-TH"/>
              </w:rPr>
              <w:t>26,017</w:t>
            </w:r>
          </w:p>
        </w:tc>
      </w:tr>
      <w:tr w:rsidR="00181C91" w:rsidRPr="003A7C01" w14:paraId="077F385D" w14:textId="77777777" w:rsidTr="00B067B4">
        <w:trPr>
          <w:trHeight w:val="515"/>
        </w:trPr>
        <w:tc>
          <w:tcPr>
            <w:tcW w:w="4074" w:type="dxa"/>
            <w:shd w:val="clear" w:color="auto" w:fill="auto"/>
            <w:vAlign w:val="center"/>
            <w:hideMark/>
          </w:tcPr>
          <w:p w14:paraId="0F9AA01B" w14:textId="79F09AAC"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State </w:t>
            </w:r>
            <w:r w:rsidR="00296755">
              <w:rPr>
                <w:rFonts w:cs="Arial"/>
                <w:color w:val="000000"/>
                <w:szCs w:val="22"/>
                <w:lang w:eastAsia="zh-CN" w:bidi="th-TH"/>
              </w:rPr>
              <w:t>G</w:t>
            </w:r>
            <w:r w:rsidR="00296755">
              <w:rPr>
                <w:lang w:eastAsia="zh-CN" w:bidi="th-TH"/>
              </w:rPr>
              <w:t xml:space="preserve">overnment </w:t>
            </w:r>
            <w:r w:rsidRPr="003A7C01">
              <w:rPr>
                <w:rFonts w:cs="Arial"/>
                <w:color w:val="000000"/>
                <w:szCs w:val="22"/>
                <w:lang w:eastAsia="zh-CN" w:bidi="th-TH"/>
              </w:rPr>
              <w:t>– grants </w:t>
            </w:r>
          </w:p>
        </w:tc>
        <w:tc>
          <w:tcPr>
            <w:tcW w:w="1807" w:type="dxa"/>
            <w:shd w:val="clear" w:color="auto" w:fill="auto"/>
            <w:vAlign w:val="center"/>
            <w:hideMark/>
          </w:tcPr>
          <w:p w14:paraId="2955F895"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 xml:space="preserve">           51,776 </w:t>
            </w:r>
          </w:p>
        </w:tc>
        <w:tc>
          <w:tcPr>
            <w:tcW w:w="1807" w:type="dxa"/>
            <w:shd w:val="clear" w:color="auto" w:fill="D9D9D9" w:themeFill="background1" w:themeFillShade="D9"/>
            <w:vAlign w:val="center"/>
            <w:hideMark/>
          </w:tcPr>
          <w:p w14:paraId="3667B5AC" w14:textId="77F8B660" w:rsidR="00181C91" w:rsidRPr="003A7C01" w:rsidRDefault="00B10B04" w:rsidP="0B2DEDFC">
            <w:pPr>
              <w:spacing w:after="0" w:line="240" w:lineRule="auto"/>
              <w:jc w:val="right"/>
              <w:rPr>
                <w:rFonts w:cs="Arial"/>
                <w:color w:val="000000"/>
                <w:lang w:eastAsia="zh-CN" w:bidi="th-TH"/>
              </w:rPr>
            </w:pPr>
            <w:r>
              <w:rPr>
                <w:rFonts w:cs="Arial"/>
                <w:color w:val="000000"/>
                <w:lang w:eastAsia="zh-CN" w:bidi="th-TH"/>
              </w:rPr>
              <w:t>52,626</w:t>
            </w:r>
          </w:p>
        </w:tc>
        <w:tc>
          <w:tcPr>
            <w:tcW w:w="1807" w:type="dxa"/>
            <w:shd w:val="clear" w:color="auto" w:fill="auto"/>
            <w:vAlign w:val="center"/>
            <w:hideMark/>
          </w:tcPr>
          <w:p w14:paraId="43B16512" w14:textId="1297F53A" w:rsidR="00181C91" w:rsidRPr="003A7C01" w:rsidRDefault="00131B6B" w:rsidP="0B2DEDFC">
            <w:pPr>
              <w:spacing w:after="0" w:line="240" w:lineRule="auto"/>
              <w:jc w:val="right"/>
              <w:rPr>
                <w:rFonts w:cs="Arial"/>
                <w:color w:val="000000"/>
                <w:lang w:eastAsia="zh-CN" w:bidi="th-TH"/>
              </w:rPr>
            </w:pPr>
            <w:r>
              <w:rPr>
                <w:rFonts w:cs="Arial"/>
                <w:color w:val="000000"/>
                <w:lang w:eastAsia="zh-CN" w:bidi="th-TH"/>
              </w:rPr>
              <w:t>48,846</w:t>
            </w:r>
          </w:p>
        </w:tc>
      </w:tr>
      <w:tr w:rsidR="00181C91" w:rsidRPr="003A7C01" w14:paraId="256860F2" w14:textId="77777777" w:rsidTr="00B067B4">
        <w:trPr>
          <w:trHeight w:val="515"/>
        </w:trPr>
        <w:tc>
          <w:tcPr>
            <w:tcW w:w="4074" w:type="dxa"/>
            <w:shd w:val="clear" w:color="auto" w:fill="auto"/>
            <w:vAlign w:val="center"/>
            <w:hideMark/>
          </w:tcPr>
          <w:p w14:paraId="36A1EC93" w14:textId="742F34C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Public Purpose Fund </w:t>
            </w:r>
            <w:r w:rsidR="00296755">
              <w:rPr>
                <w:rFonts w:cs="Arial"/>
                <w:color w:val="000000"/>
                <w:szCs w:val="22"/>
                <w:lang w:eastAsia="zh-CN" w:bidi="th-TH"/>
              </w:rPr>
              <w:t>- grants</w:t>
            </w:r>
          </w:p>
        </w:tc>
        <w:tc>
          <w:tcPr>
            <w:tcW w:w="1807" w:type="dxa"/>
            <w:shd w:val="clear" w:color="auto" w:fill="auto"/>
            <w:vAlign w:val="center"/>
            <w:hideMark/>
          </w:tcPr>
          <w:p w14:paraId="4431F168"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 xml:space="preserve">           14,950 </w:t>
            </w:r>
          </w:p>
        </w:tc>
        <w:tc>
          <w:tcPr>
            <w:tcW w:w="1807" w:type="dxa"/>
            <w:shd w:val="clear" w:color="auto" w:fill="D9D9D9" w:themeFill="background1" w:themeFillShade="D9"/>
            <w:vAlign w:val="center"/>
            <w:hideMark/>
          </w:tcPr>
          <w:p w14:paraId="299738E9" w14:textId="64402A64" w:rsidR="00181C91" w:rsidRPr="003A7C01" w:rsidRDefault="00B10B04" w:rsidP="0B2DEDFC">
            <w:pPr>
              <w:spacing w:after="0" w:line="240" w:lineRule="auto"/>
              <w:jc w:val="right"/>
              <w:rPr>
                <w:rFonts w:cs="Arial"/>
                <w:color w:val="000000"/>
                <w:lang w:eastAsia="zh-CN" w:bidi="th-TH"/>
              </w:rPr>
            </w:pPr>
            <w:r>
              <w:rPr>
                <w:rFonts w:cs="Arial"/>
                <w:color w:val="000000"/>
                <w:lang w:eastAsia="zh-CN" w:bidi="th-TH"/>
              </w:rPr>
              <w:t>14,950</w:t>
            </w:r>
          </w:p>
        </w:tc>
        <w:tc>
          <w:tcPr>
            <w:tcW w:w="1807" w:type="dxa"/>
            <w:shd w:val="clear" w:color="auto" w:fill="auto"/>
            <w:vAlign w:val="center"/>
            <w:hideMark/>
          </w:tcPr>
          <w:p w14:paraId="296F143E" w14:textId="79EE8128" w:rsidR="00181C91" w:rsidRPr="003A7C01" w:rsidRDefault="00131B6B" w:rsidP="0B2DEDFC">
            <w:pPr>
              <w:spacing w:after="0" w:line="240" w:lineRule="auto"/>
              <w:jc w:val="right"/>
              <w:rPr>
                <w:rFonts w:cs="Arial"/>
                <w:color w:val="000000"/>
                <w:lang w:eastAsia="zh-CN" w:bidi="th-TH"/>
              </w:rPr>
            </w:pPr>
            <w:r>
              <w:rPr>
                <w:rFonts w:cs="Arial"/>
                <w:color w:val="000000"/>
                <w:lang w:eastAsia="zh-CN" w:bidi="th-TH"/>
              </w:rPr>
              <w:t>12,850</w:t>
            </w:r>
          </w:p>
        </w:tc>
      </w:tr>
      <w:tr w:rsidR="00181C91" w:rsidRPr="003A7C01" w14:paraId="3852FF5E" w14:textId="77777777" w:rsidTr="00B067B4">
        <w:trPr>
          <w:trHeight w:val="515"/>
        </w:trPr>
        <w:tc>
          <w:tcPr>
            <w:tcW w:w="4074" w:type="dxa"/>
            <w:shd w:val="clear" w:color="auto" w:fill="auto"/>
            <w:vAlign w:val="center"/>
            <w:hideMark/>
          </w:tcPr>
          <w:p w14:paraId="305BF643"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Case revenue </w:t>
            </w:r>
          </w:p>
        </w:tc>
        <w:tc>
          <w:tcPr>
            <w:tcW w:w="1807" w:type="dxa"/>
            <w:shd w:val="clear" w:color="auto" w:fill="auto"/>
            <w:vAlign w:val="center"/>
            <w:hideMark/>
          </w:tcPr>
          <w:p w14:paraId="20DC9D84"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 xml:space="preserve">                544 </w:t>
            </w:r>
          </w:p>
        </w:tc>
        <w:tc>
          <w:tcPr>
            <w:tcW w:w="1807" w:type="dxa"/>
            <w:shd w:val="clear" w:color="auto" w:fill="D9D9D9" w:themeFill="background1" w:themeFillShade="D9"/>
            <w:vAlign w:val="center"/>
            <w:hideMark/>
          </w:tcPr>
          <w:p w14:paraId="3CE3E958" w14:textId="04916BFC" w:rsidR="00181C91" w:rsidRPr="003A7C01" w:rsidRDefault="00B10B04" w:rsidP="0B2DEDFC">
            <w:pPr>
              <w:spacing w:after="0" w:line="240" w:lineRule="auto"/>
              <w:jc w:val="right"/>
              <w:rPr>
                <w:rFonts w:cs="Arial"/>
                <w:color w:val="000000"/>
                <w:lang w:eastAsia="zh-CN" w:bidi="th-TH"/>
              </w:rPr>
            </w:pPr>
            <w:r>
              <w:rPr>
                <w:rFonts w:cs="Arial"/>
                <w:color w:val="000000"/>
                <w:lang w:eastAsia="zh-CN" w:bidi="th-TH"/>
              </w:rPr>
              <w:t>1,435</w:t>
            </w:r>
          </w:p>
        </w:tc>
        <w:tc>
          <w:tcPr>
            <w:tcW w:w="1807" w:type="dxa"/>
            <w:shd w:val="clear" w:color="auto" w:fill="auto"/>
            <w:vAlign w:val="center"/>
            <w:hideMark/>
          </w:tcPr>
          <w:p w14:paraId="0E7BA419" w14:textId="233F96F0" w:rsidR="00181C91" w:rsidRPr="003A7C01" w:rsidRDefault="00131B6B" w:rsidP="0B2DEDFC">
            <w:pPr>
              <w:spacing w:after="0" w:line="240" w:lineRule="auto"/>
              <w:jc w:val="right"/>
              <w:rPr>
                <w:rFonts w:cs="Arial"/>
                <w:color w:val="000000"/>
                <w:lang w:eastAsia="zh-CN" w:bidi="th-TH"/>
              </w:rPr>
            </w:pPr>
            <w:r>
              <w:rPr>
                <w:rFonts w:cs="Arial"/>
                <w:color w:val="000000"/>
                <w:lang w:eastAsia="zh-CN" w:bidi="th-TH"/>
              </w:rPr>
              <w:t>1,016</w:t>
            </w:r>
          </w:p>
        </w:tc>
      </w:tr>
      <w:tr w:rsidR="00181C91" w:rsidRPr="003A7C01" w14:paraId="18E2F460" w14:textId="77777777" w:rsidTr="00B067B4">
        <w:trPr>
          <w:trHeight w:val="515"/>
        </w:trPr>
        <w:tc>
          <w:tcPr>
            <w:tcW w:w="4074" w:type="dxa"/>
            <w:shd w:val="clear" w:color="auto" w:fill="auto"/>
            <w:vAlign w:val="center"/>
            <w:hideMark/>
          </w:tcPr>
          <w:p w14:paraId="631B7A09" w14:textId="77777777" w:rsidR="00181C91" w:rsidRPr="003A7C01" w:rsidRDefault="00181C91" w:rsidP="00417688">
            <w:pPr>
              <w:spacing w:after="0" w:line="240" w:lineRule="auto"/>
              <w:rPr>
                <w:rFonts w:cs="Arial"/>
                <w:color w:val="000000"/>
                <w:szCs w:val="22"/>
                <w:lang w:eastAsia="zh-CN" w:bidi="th-TH"/>
              </w:rPr>
            </w:pPr>
            <w:r w:rsidRPr="003A7C01">
              <w:rPr>
                <w:rFonts w:cs="Arial"/>
                <w:color w:val="000000"/>
                <w:szCs w:val="22"/>
                <w:lang w:eastAsia="zh-CN" w:bidi="th-TH"/>
              </w:rPr>
              <w:t>Other income </w:t>
            </w:r>
          </w:p>
        </w:tc>
        <w:tc>
          <w:tcPr>
            <w:tcW w:w="1807" w:type="dxa"/>
            <w:shd w:val="clear" w:color="auto" w:fill="auto"/>
            <w:vAlign w:val="center"/>
            <w:hideMark/>
          </w:tcPr>
          <w:p w14:paraId="43A1B077"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 xml:space="preserve">             1,602 </w:t>
            </w:r>
          </w:p>
        </w:tc>
        <w:tc>
          <w:tcPr>
            <w:tcW w:w="1807" w:type="dxa"/>
            <w:shd w:val="clear" w:color="auto" w:fill="D9D9D9" w:themeFill="background1" w:themeFillShade="D9"/>
            <w:vAlign w:val="center"/>
            <w:hideMark/>
          </w:tcPr>
          <w:p w14:paraId="2C2B00EE" w14:textId="200B6257" w:rsidR="00181C91" w:rsidRPr="003A7C01" w:rsidRDefault="00B10B04" w:rsidP="0B2DEDFC">
            <w:pPr>
              <w:spacing w:after="0" w:line="240" w:lineRule="auto"/>
              <w:jc w:val="right"/>
              <w:rPr>
                <w:rFonts w:cs="Arial"/>
                <w:color w:val="000000"/>
                <w:lang w:eastAsia="zh-CN" w:bidi="th-TH"/>
              </w:rPr>
            </w:pPr>
            <w:r>
              <w:rPr>
                <w:rFonts w:cs="Arial"/>
                <w:color w:val="000000"/>
                <w:lang w:eastAsia="zh-CN" w:bidi="th-TH"/>
              </w:rPr>
              <w:t>1,607</w:t>
            </w:r>
          </w:p>
        </w:tc>
        <w:tc>
          <w:tcPr>
            <w:tcW w:w="1807" w:type="dxa"/>
            <w:shd w:val="clear" w:color="auto" w:fill="auto"/>
            <w:vAlign w:val="center"/>
            <w:hideMark/>
          </w:tcPr>
          <w:p w14:paraId="08CF6F06" w14:textId="1F6D35A7" w:rsidR="00181C91" w:rsidRPr="003A7C01" w:rsidRDefault="00131B6B" w:rsidP="0B2DEDFC">
            <w:pPr>
              <w:spacing w:after="0" w:line="240" w:lineRule="auto"/>
              <w:jc w:val="right"/>
              <w:rPr>
                <w:rFonts w:cs="Arial"/>
                <w:color w:val="000000"/>
                <w:lang w:eastAsia="zh-CN" w:bidi="th-TH"/>
              </w:rPr>
            </w:pPr>
            <w:r>
              <w:rPr>
                <w:rFonts w:cs="Arial"/>
                <w:color w:val="000000"/>
                <w:lang w:eastAsia="zh-CN" w:bidi="th-TH"/>
              </w:rPr>
              <w:t>1,375</w:t>
            </w:r>
          </w:p>
        </w:tc>
      </w:tr>
      <w:tr w:rsidR="00181C91" w:rsidRPr="003A7C01" w14:paraId="309157E7" w14:textId="77777777" w:rsidTr="00B067B4">
        <w:trPr>
          <w:trHeight w:val="515"/>
        </w:trPr>
        <w:tc>
          <w:tcPr>
            <w:tcW w:w="4074" w:type="dxa"/>
            <w:shd w:val="clear" w:color="auto" w:fill="D9D9D9" w:themeFill="background1" w:themeFillShade="D9"/>
            <w:vAlign w:val="center"/>
            <w:hideMark/>
          </w:tcPr>
          <w:p w14:paraId="55C5CD62" w14:textId="77777777" w:rsidR="00181C91" w:rsidRPr="003A7C01" w:rsidRDefault="00181C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revenue</w:t>
            </w:r>
            <w:r w:rsidRPr="003A7C01">
              <w:rPr>
                <w:rFonts w:cs="Arial"/>
                <w:color w:val="000000"/>
                <w:szCs w:val="22"/>
                <w:lang w:eastAsia="zh-CN" w:bidi="th-TH"/>
              </w:rPr>
              <w:t> </w:t>
            </w:r>
          </w:p>
        </w:tc>
        <w:tc>
          <w:tcPr>
            <w:tcW w:w="1807" w:type="dxa"/>
            <w:shd w:val="clear" w:color="auto" w:fill="D9D9D9" w:themeFill="background1" w:themeFillShade="D9"/>
            <w:vAlign w:val="center"/>
            <w:hideMark/>
          </w:tcPr>
          <w:p w14:paraId="3D9D97CF" w14:textId="77777777" w:rsidR="0B2DEDFC" w:rsidRDefault="0B2DEDFC" w:rsidP="0B2DEDFC">
            <w:pPr>
              <w:spacing w:after="0" w:line="240" w:lineRule="auto"/>
              <w:jc w:val="right"/>
              <w:rPr>
                <w:rFonts w:cs="Arial"/>
                <w:b/>
                <w:bCs/>
                <w:color w:val="000000" w:themeColor="text1"/>
                <w:lang w:eastAsia="zh-CN" w:bidi="th-TH"/>
              </w:rPr>
            </w:pPr>
            <w:r w:rsidRPr="0B2DEDFC">
              <w:rPr>
                <w:rFonts w:cs="Arial"/>
                <w:b/>
                <w:bCs/>
                <w:color w:val="000000" w:themeColor="text1"/>
                <w:lang w:eastAsia="zh-CN" w:bidi="th-TH"/>
              </w:rPr>
              <w:t xml:space="preserve">           94,366 </w:t>
            </w:r>
          </w:p>
        </w:tc>
        <w:tc>
          <w:tcPr>
            <w:tcW w:w="1807" w:type="dxa"/>
            <w:shd w:val="clear" w:color="auto" w:fill="D9D9D9" w:themeFill="background1" w:themeFillShade="D9"/>
            <w:vAlign w:val="center"/>
            <w:hideMark/>
          </w:tcPr>
          <w:p w14:paraId="5DAB5FC4" w14:textId="6840B055" w:rsidR="00181C91" w:rsidRPr="003A7C01" w:rsidRDefault="00B10B04" w:rsidP="0B2DEDFC">
            <w:pPr>
              <w:spacing w:after="0" w:line="240" w:lineRule="auto"/>
              <w:jc w:val="right"/>
              <w:rPr>
                <w:rFonts w:cs="Arial"/>
                <w:b/>
                <w:bCs/>
                <w:color w:val="000000"/>
                <w:lang w:eastAsia="zh-CN" w:bidi="th-TH"/>
              </w:rPr>
            </w:pPr>
            <w:r>
              <w:rPr>
                <w:rFonts w:cs="Arial"/>
                <w:b/>
                <w:bCs/>
                <w:color w:val="000000"/>
                <w:lang w:eastAsia="zh-CN" w:bidi="th-TH"/>
              </w:rPr>
              <w:t>101,759</w:t>
            </w:r>
          </w:p>
        </w:tc>
        <w:tc>
          <w:tcPr>
            <w:tcW w:w="1807" w:type="dxa"/>
            <w:shd w:val="clear" w:color="auto" w:fill="D9D9D9" w:themeFill="background1" w:themeFillShade="D9"/>
            <w:vAlign w:val="center"/>
            <w:hideMark/>
          </w:tcPr>
          <w:p w14:paraId="1285C2DD" w14:textId="3594CF5F" w:rsidR="00181C91" w:rsidRPr="003A7C01" w:rsidRDefault="00131B6B" w:rsidP="0B2DEDFC">
            <w:pPr>
              <w:spacing w:after="0" w:line="240" w:lineRule="auto"/>
              <w:jc w:val="right"/>
              <w:rPr>
                <w:rFonts w:cs="Arial"/>
                <w:b/>
                <w:bCs/>
                <w:color w:val="000000"/>
                <w:lang w:eastAsia="zh-CN" w:bidi="th-TH"/>
              </w:rPr>
            </w:pPr>
            <w:r>
              <w:rPr>
                <w:rFonts w:cs="Arial"/>
                <w:b/>
                <w:bCs/>
                <w:color w:val="000000"/>
                <w:lang w:eastAsia="zh-CN" w:bidi="th-TH"/>
              </w:rPr>
              <w:t>90,104</w:t>
            </w:r>
          </w:p>
        </w:tc>
      </w:tr>
    </w:tbl>
    <w:p w14:paraId="5CBECD65" w14:textId="77777777" w:rsidR="008D2291" w:rsidRDefault="008D2291" w:rsidP="008D2291">
      <w:pPr>
        <w:pStyle w:val="Heading3"/>
        <w:rPr>
          <w:rFonts w:eastAsia="Arial"/>
          <w:sz w:val="20"/>
          <w:szCs w:val="20"/>
        </w:rPr>
      </w:pPr>
    </w:p>
    <w:p w14:paraId="700A0380" w14:textId="77777777" w:rsidR="00A3162D" w:rsidRDefault="00A3162D" w:rsidP="0B2DEDFC">
      <w:pPr>
        <w:pStyle w:val="Heading3"/>
        <w:rPr>
          <w:rFonts w:eastAsia="Arial"/>
          <w:sz w:val="20"/>
          <w:szCs w:val="20"/>
        </w:rPr>
      </w:pPr>
    </w:p>
    <w:p w14:paraId="1F43563B" w14:textId="77777777" w:rsidR="00A3162D" w:rsidRDefault="00A3162D" w:rsidP="00A3162D">
      <w:pPr>
        <w:rPr>
          <w:rFonts w:eastAsia="Arial"/>
          <w:lang w:eastAsia="en-AU"/>
        </w:rPr>
      </w:pPr>
    </w:p>
    <w:p w14:paraId="46DBB480" w14:textId="77777777" w:rsidR="00A3162D" w:rsidRPr="00A3162D" w:rsidRDefault="00A3162D" w:rsidP="00A3162D">
      <w:pPr>
        <w:rPr>
          <w:rFonts w:eastAsia="Arial"/>
          <w:lang w:eastAsia="en-AU"/>
        </w:rPr>
      </w:pPr>
    </w:p>
    <w:p w14:paraId="5093FA15" w14:textId="77777777" w:rsidR="00A3162D" w:rsidRDefault="00A3162D" w:rsidP="00A3162D">
      <w:pPr>
        <w:pStyle w:val="Heading3"/>
        <w:rPr>
          <w:rFonts w:eastAsia="Arial"/>
          <w:sz w:val="20"/>
          <w:szCs w:val="20"/>
        </w:rPr>
      </w:pPr>
    </w:p>
    <w:p w14:paraId="0A7CA810" w14:textId="77777777" w:rsidR="000843DB" w:rsidRDefault="000843DB" w:rsidP="000843DB">
      <w:pPr>
        <w:rPr>
          <w:rFonts w:eastAsia="Arial"/>
          <w:lang w:eastAsia="en-AU"/>
        </w:rPr>
      </w:pPr>
    </w:p>
    <w:p w14:paraId="7A20F932" w14:textId="77777777" w:rsidR="000843DB" w:rsidRPr="00B067B4" w:rsidRDefault="000843DB" w:rsidP="00B067B4">
      <w:pPr>
        <w:rPr>
          <w:rFonts w:eastAsia="Arial"/>
        </w:rPr>
      </w:pPr>
    </w:p>
    <w:p w14:paraId="1055826B" w14:textId="77777777" w:rsidR="000843DB" w:rsidRDefault="000843DB" w:rsidP="000843DB">
      <w:pPr>
        <w:rPr>
          <w:rFonts w:eastAsia="Arial"/>
          <w:lang w:eastAsia="en-AU"/>
        </w:rPr>
      </w:pPr>
    </w:p>
    <w:p w14:paraId="0534D746" w14:textId="77777777" w:rsidR="000843DB" w:rsidRDefault="000843DB" w:rsidP="000843DB">
      <w:pPr>
        <w:rPr>
          <w:rFonts w:eastAsia="Arial"/>
          <w:lang w:eastAsia="en-AU"/>
        </w:rPr>
      </w:pPr>
    </w:p>
    <w:p w14:paraId="0A9AB72B" w14:textId="56C77EE2" w:rsidR="00A3162D" w:rsidRPr="00A3162D" w:rsidRDefault="008D2291" w:rsidP="006663C9">
      <w:pPr>
        <w:pStyle w:val="Tableheader"/>
      </w:pPr>
      <w:r w:rsidRPr="0B2DEDFC">
        <w:rPr>
          <w:rFonts w:eastAsia="Arial"/>
        </w:rPr>
        <w:t>Table 2.2 Total expenditure breakdown ($’000)</w:t>
      </w:r>
      <w: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34"/>
        <w:gridCol w:w="1834"/>
        <w:gridCol w:w="1691"/>
      </w:tblGrid>
      <w:tr w:rsidR="008D2291" w:rsidRPr="003A7C01" w14:paraId="1739A7EC" w14:textId="77777777" w:rsidTr="000843DB">
        <w:trPr>
          <w:trHeight w:val="245"/>
        </w:trPr>
        <w:tc>
          <w:tcPr>
            <w:tcW w:w="4134" w:type="dxa"/>
            <w:vMerge w:val="restart"/>
            <w:shd w:val="clear" w:color="auto" w:fill="B59CC0"/>
            <w:vAlign w:val="center"/>
            <w:hideMark/>
          </w:tcPr>
          <w:p w14:paraId="53334BA3"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Expenditure</w:t>
            </w:r>
            <w:r w:rsidRPr="003A7C01">
              <w:rPr>
                <w:rFonts w:cs="Arial"/>
                <w:color w:val="000000"/>
                <w:szCs w:val="22"/>
                <w:lang w:eastAsia="zh-CN" w:bidi="th-TH"/>
              </w:rPr>
              <w:t> </w:t>
            </w:r>
          </w:p>
        </w:tc>
        <w:tc>
          <w:tcPr>
            <w:tcW w:w="1834" w:type="dxa"/>
            <w:tcBorders>
              <w:bottom w:val="nil"/>
            </w:tcBorders>
            <w:shd w:val="clear" w:color="auto" w:fill="B59CC0"/>
            <w:vAlign w:val="center"/>
            <w:hideMark/>
          </w:tcPr>
          <w:p w14:paraId="71E99CFB" w14:textId="01326A9C" w:rsidR="008D2291" w:rsidRPr="003A7C01" w:rsidRDefault="008D2291"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w:t>
            </w:r>
            <w:r w:rsidR="0903BF17" w:rsidRPr="0B2DEDFC">
              <w:rPr>
                <w:rFonts w:cs="Arial"/>
                <w:b/>
                <w:bCs/>
                <w:color w:val="000000" w:themeColor="text1"/>
                <w:lang w:eastAsia="zh-CN" w:bidi="th-TH"/>
              </w:rPr>
              <w:t>3</w:t>
            </w:r>
          </w:p>
        </w:tc>
        <w:tc>
          <w:tcPr>
            <w:tcW w:w="1834" w:type="dxa"/>
            <w:tcBorders>
              <w:bottom w:val="nil"/>
            </w:tcBorders>
            <w:shd w:val="clear" w:color="auto" w:fill="B59CC0"/>
            <w:vAlign w:val="center"/>
            <w:hideMark/>
          </w:tcPr>
          <w:p w14:paraId="2A383130"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Q3</w:t>
            </w:r>
          </w:p>
        </w:tc>
        <w:tc>
          <w:tcPr>
            <w:tcW w:w="1691" w:type="dxa"/>
            <w:tcBorders>
              <w:bottom w:val="nil"/>
            </w:tcBorders>
            <w:shd w:val="clear" w:color="auto" w:fill="B59CC0"/>
            <w:vAlign w:val="center"/>
            <w:hideMark/>
          </w:tcPr>
          <w:p w14:paraId="48C3B669" w14:textId="4AD6DD93" w:rsidR="008D2291" w:rsidRPr="003A7C01" w:rsidRDefault="008D2291" w:rsidP="0B2DEDFC">
            <w:pPr>
              <w:spacing w:after="0" w:line="240" w:lineRule="auto"/>
              <w:jc w:val="center"/>
              <w:rPr>
                <w:rFonts w:cs="Arial"/>
                <w:b/>
                <w:bCs/>
                <w:color w:val="000000"/>
                <w:lang w:eastAsia="zh-CN" w:bidi="th-TH"/>
              </w:rPr>
            </w:pPr>
            <w:r w:rsidRPr="0B2DEDFC">
              <w:rPr>
                <w:rFonts w:cs="Arial"/>
                <w:b/>
                <w:bCs/>
                <w:color w:val="000000" w:themeColor="text1"/>
                <w:lang w:eastAsia="zh-CN" w:bidi="th-TH"/>
              </w:rPr>
              <w:t>Q4 202</w:t>
            </w:r>
            <w:r w:rsidR="1D60AE5D" w:rsidRPr="0B2DEDFC">
              <w:rPr>
                <w:rFonts w:cs="Arial"/>
                <w:b/>
                <w:bCs/>
                <w:color w:val="000000" w:themeColor="text1"/>
                <w:lang w:eastAsia="zh-CN" w:bidi="th-TH"/>
              </w:rPr>
              <w:t>4</w:t>
            </w:r>
            <w:r w:rsidR="00C82810">
              <w:rPr>
                <w:rFonts w:cs="Arial"/>
                <w:b/>
                <w:bCs/>
                <w:color w:val="000000" w:themeColor="text1"/>
                <w:lang w:eastAsia="zh-CN" w:bidi="th-TH"/>
              </w:rPr>
              <w:t>–</w:t>
            </w:r>
            <w:r w:rsidRPr="0B2DEDFC">
              <w:rPr>
                <w:rFonts w:cs="Arial"/>
                <w:b/>
                <w:bCs/>
                <w:color w:val="000000" w:themeColor="text1"/>
                <w:lang w:eastAsia="zh-CN" w:bidi="th-TH"/>
              </w:rPr>
              <w:t>2</w:t>
            </w:r>
            <w:r w:rsidR="24546A0C" w:rsidRPr="0B2DEDFC">
              <w:rPr>
                <w:rFonts w:cs="Arial"/>
                <w:b/>
                <w:bCs/>
                <w:color w:val="000000" w:themeColor="text1"/>
                <w:lang w:eastAsia="zh-CN" w:bidi="th-TH"/>
              </w:rPr>
              <w:t>5</w:t>
            </w:r>
          </w:p>
        </w:tc>
      </w:tr>
      <w:tr w:rsidR="008D2291" w:rsidRPr="003A7C01" w14:paraId="06EC9185" w14:textId="77777777" w:rsidTr="000843DB">
        <w:trPr>
          <w:trHeight w:val="253"/>
        </w:trPr>
        <w:tc>
          <w:tcPr>
            <w:tcW w:w="4134" w:type="dxa"/>
            <w:vMerge/>
            <w:vAlign w:val="center"/>
            <w:hideMark/>
          </w:tcPr>
          <w:p w14:paraId="19EBD10B" w14:textId="77777777" w:rsidR="008D2291" w:rsidRPr="003A7C01" w:rsidRDefault="008D2291" w:rsidP="00417688">
            <w:pPr>
              <w:spacing w:after="0" w:line="240" w:lineRule="auto"/>
              <w:rPr>
                <w:rFonts w:cs="Arial"/>
                <w:b/>
                <w:bCs/>
                <w:color w:val="000000"/>
                <w:szCs w:val="22"/>
                <w:lang w:eastAsia="zh-CN" w:bidi="th-TH"/>
              </w:rPr>
            </w:pPr>
          </w:p>
        </w:tc>
        <w:tc>
          <w:tcPr>
            <w:tcW w:w="1834" w:type="dxa"/>
            <w:tcBorders>
              <w:top w:val="nil"/>
            </w:tcBorders>
            <w:shd w:val="clear" w:color="auto" w:fill="B59CC0"/>
            <w:vAlign w:val="center"/>
            <w:hideMark/>
          </w:tcPr>
          <w:p w14:paraId="06BF5157"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834" w:type="dxa"/>
            <w:tcBorders>
              <w:top w:val="nil"/>
            </w:tcBorders>
            <w:shd w:val="clear" w:color="auto" w:fill="B59CC0"/>
            <w:vAlign w:val="center"/>
            <w:hideMark/>
          </w:tcPr>
          <w:p w14:paraId="74A02EE0"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2023-24 </w:t>
            </w:r>
          </w:p>
        </w:tc>
        <w:tc>
          <w:tcPr>
            <w:tcW w:w="1691" w:type="dxa"/>
            <w:tcBorders>
              <w:top w:val="nil"/>
            </w:tcBorders>
            <w:shd w:val="clear" w:color="auto" w:fill="B59CC0"/>
            <w:vAlign w:val="center"/>
            <w:hideMark/>
          </w:tcPr>
          <w:p w14:paraId="40333106" w14:textId="77777777" w:rsidR="008D2291" w:rsidRPr="003A7C01" w:rsidRDefault="008D2291" w:rsidP="00417688">
            <w:pPr>
              <w:spacing w:after="0" w:line="240" w:lineRule="auto"/>
              <w:jc w:val="center"/>
              <w:rPr>
                <w:rFonts w:cs="Arial"/>
                <w:b/>
                <w:bCs/>
                <w:color w:val="000000"/>
                <w:szCs w:val="22"/>
                <w:lang w:eastAsia="zh-CN" w:bidi="th-TH"/>
              </w:rPr>
            </w:pPr>
            <w:r w:rsidRPr="003A7C01">
              <w:rPr>
                <w:rFonts w:cs="Arial"/>
                <w:b/>
                <w:bCs/>
                <w:color w:val="000000"/>
                <w:szCs w:val="22"/>
                <w:lang w:eastAsia="zh-CN" w:bidi="th-TH"/>
              </w:rPr>
              <w:t>projection</w:t>
            </w:r>
          </w:p>
        </w:tc>
      </w:tr>
      <w:tr w:rsidR="008D2291" w:rsidRPr="003A7C01" w14:paraId="1447DD06" w14:textId="77777777" w:rsidTr="00B067B4">
        <w:trPr>
          <w:trHeight w:val="752"/>
        </w:trPr>
        <w:tc>
          <w:tcPr>
            <w:tcW w:w="4134" w:type="dxa"/>
            <w:shd w:val="clear" w:color="auto" w:fill="auto"/>
            <w:vAlign w:val="center"/>
            <w:hideMark/>
          </w:tcPr>
          <w:p w14:paraId="3C9742BB" w14:textId="74222098"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 xml:space="preserve">Case expenditure </w:t>
            </w:r>
          </w:p>
        </w:tc>
        <w:tc>
          <w:tcPr>
            <w:tcW w:w="1834" w:type="dxa"/>
            <w:shd w:val="clear" w:color="auto" w:fill="auto"/>
            <w:vAlign w:val="center"/>
            <w:hideMark/>
          </w:tcPr>
          <w:p w14:paraId="4893F46B"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(29,968)</w:t>
            </w:r>
          </w:p>
        </w:tc>
        <w:tc>
          <w:tcPr>
            <w:tcW w:w="1834" w:type="dxa"/>
            <w:shd w:val="clear" w:color="auto" w:fill="D9D9D9" w:themeFill="background1" w:themeFillShade="D9"/>
            <w:vAlign w:val="center"/>
            <w:hideMark/>
          </w:tcPr>
          <w:p w14:paraId="03F9B0DE" w14:textId="7598E16B" w:rsidR="008D2291" w:rsidRPr="003A7C01" w:rsidRDefault="00E31193" w:rsidP="0B2DEDFC">
            <w:pPr>
              <w:spacing w:after="0" w:line="240" w:lineRule="auto"/>
              <w:jc w:val="right"/>
              <w:rPr>
                <w:rFonts w:cs="Arial"/>
                <w:color w:val="000000"/>
                <w:lang w:eastAsia="zh-CN" w:bidi="th-TH"/>
              </w:rPr>
            </w:pPr>
            <w:r>
              <w:rPr>
                <w:rFonts w:cs="Arial"/>
                <w:color w:val="000000"/>
                <w:lang w:eastAsia="zh-CN" w:bidi="th-TH"/>
              </w:rPr>
              <w:t>(34,801)</w:t>
            </w:r>
          </w:p>
        </w:tc>
        <w:tc>
          <w:tcPr>
            <w:tcW w:w="1691" w:type="dxa"/>
            <w:shd w:val="clear" w:color="auto" w:fill="auto"/>
            <w:vAlign w:val="center"/>
            <w:hideMark/>
          </w:tcPr>
          <w:p w14:paraId="1D02ECEC" w14:textId="4E36C7B2" w:rsidR="008D2291" w:rsidRPr="003A7C01" w:rsidRDefault="00097D97" w:rsidP="0B2DEDFC">
            <w:pPr>
              <w:spacing w:after="0" w:line="240" w:lineRule="auto"/>
              <w:jc w:val="right"/>
              <w:rPr>
                <w:rFonts w:cs="Arial"/>
                <w:color w:val="000000"/>
                <w:lang w:eastAsia="zh-CN" w:bidi="th-TH"/>
              </w:rPr>
            </w:pPr>
            <w:r>
              <w:rPr>
                <w:rFonts w:cs="Arial"/>
                <w:color w:val="000000"/>
                <w:lang w:eastAsia="zh-CN" w:bidi="th-TH"/>
              </w:rPr>
              <w:t>(31,699)</w:t>
            </w:r>
          </w:p>
        </w:tc>
      </w:tr>
      <w:tr w:rsidR="008D2291" w:rsidRPr="003A7C01" w14:paraId="3B85BD42" w14:textId="77777777" w:rsidTr="00B067B4">
        <w:trPr>
          <w:trHeight w:val="752"/>
        </w:trPr>
        <w:tc>
          <w:tcPr>
            <w:tcW w:w="4134" w:type="dxa"/>
            <w:shd w:val="clear" w:color="auto" w:fill="auto"/>
            <w:vAlign w:val="center"/>
            <w:hideMark/>
          </w:tcPr>
          <w:p w14:paraId="23F6E70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Community Legal Centre payments </w:t>
            </w:r>
          </w:p>
        </w:tc>
        <w:tc>
          <w:tcPr>
            <w:tcW w:w="1834" w:type="dxa"/>
            <w:shd w:val="clear" w:color="auto" w:fill="auto"/>
            <w:vAlign w:val="center"/>
            <w:hideMark/>
          </w:tcPr>
          <w:p w14:paraId="0D2199FF"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(18,514)</w:t>
            </w:r>
          </w:p>
        </w:tc>
        <w:tc>
          <w:tcPr>
            <w:tcW w:w="1834" w:type="dxa"/>
            <w:shd w:val="clear" w:color="auto" w:fill="D9D9D9" w:themeFill="background1" w:themeFillShade="D9"/>
            <w:vAlign w:val="center"/>
            <w:hideMark/>
          </w:tcPr>
          <w:p w14:paraId="374E8870" w14:textId="4AFA52BC" w:rsidR="008D2291" w:rsidRPr="003A7C01" w:rsidRDefault="00E31193" w:rsidP="0B2DEDFC">
            <w:pPr>
              <w:spacing w:after="0" w:line="240" w:lineRule="auto"/>
              <w:jc w:val="right"/>
              <w:rPr>
                <w:rFonts w:cs="Arial"/>
                <w:color w:val="000000"/>
                <w:lang w:eastAsia="zh-CN" w:bidi="th-TH"/>
              </w:rPr>
            </w:pPr>
            <w:r>
              <w:rPr>
                <w:rFonts w:cs="Arial"/>
                <w:color w:val="000000"/>
                <w:lang w:eastAsia="zh-CN" w:bidi="th-TH"/>
              </w:rPr>
              <w:t>(18,155)</w:t>
            </w:r>
          </w:p>
        </w:tc>
        <w:tc>
          <w:tcPr>
            <w:tcW w:w="1691" w:type="dxa"/>
            <w:shd w:val="clear" w:color="auto" w:fill="auto"/>
            <w:vAlign w:val="center"/>
            <w:hideMark/>
          </w:tcPr>
          <w:p w14:paraId="5AD514A4" w14:textId="076C504E" w:rsidR="008D2291" w:rsidRPr="003A7C01" w:rsidRDefault="00097D97" w:rsidP="0B2DEDFC">
            <w:pPr>
              <w:spacing w:after="0" w:line="240" w:lineRule="auto"/>
              <w:jc w:val="right"/>
              <w:rPr>
                <w:rFonts w:cs="Arial"/>
                <w:color w:val="000000"/>
                <w:lang w:eastAsia="zh-CN" w:bidi="th-TH"/>
              </w:rPr>
            </w:pPr>
            <w:r>
              <w:rPr>
                <w:rFonts w:cs="Arial"/>
                <w:color w:val="000000"/>
                <w:lang w:eastAsia="zh-CN" w:bidi="th-TH"/>
              </w:rPr>
              <w:t>(16,631)</w:t>
            </w:r>
          </w:p>
        </w:tc>
      </w:tr>
      <w:tr w:rsidR="008D2291" w:rsidRPr="003A7C01" w14:paraId="17431449" w14:textId="77777777" w:rsidTr="00B067B4">
        <w:trPr>
          <w:trHeight w:val="752"/>
        </w:trPr>
        <w:tc>
          <w:tcPr>
            <w:tcW w:w="4134" w:type="dxa"/>
            <w:shd w:val="clear" w:color="auto" w:fill="auto"/>
            <w:vAlign w:val="center"/>
            <w:hideMark/>
          </w:tcPr>
          <w:p w14:paraId="14BA531D"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Staff costs </w:t>
            </w:r>
          </w:p>
        </w:tc>
        <w:tc>
          <w:tcPr>
            <w:tcW w:w="1834" w:type="dxa"/>
            <w:shd w:val="clear" w:color="auto" w:fill="auto"/>
            <w:vAlign w:val="center"/>
            <w:hideMark/>
          </w:tcPr>
          <w:p w14:paraId="7CD1FDE5"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(32,820)</w:t>
            </w:r>
          </w:p>
        </w:tc>
        <w:tc>
          <w:tcPr>
            <w:tcW w:w="1834" w:type="dxa"/>
            <w:shd w:val="clear" w:color="auto" w:fill="D9D9D9" w:themeFill="background1" w:themeFillShade="D9"/>
            <w:vAlign w:val="center"/>
            <w:hideMark/>
          </w:tcPr>
          <w:p w14:paraId="3AAFCABA" w14:textId="7815DF77" w:rsidR="008D2291" w:rsidRPr="003A7C01" w:rsidRDefault="00E31193" w:rsidP="0B2DEDFC">
            <w:pPr>
              <w:spacing w:after="0" w:line="240" w:lineRule="auto"/>
              <w:jc w:val="right"/>
              <w:rPr>
                <w:rFonts w:cs="Arial"/>
                <w:color w:val="000000"/>
                <w:lang w:eastAsia="zh-CN" w:bidi="th-TH"/>
              </w:rPr>
            </w:pPr>
            <w:r>
              <w:rPr>
                <w:rFonts w:cs="Arial"/>
                <w:color w:val="000000"/>
                <w:lang w:eastAsia="zh-CN" w:bidi="th-TH"/>
              </w:rPr>
              <w:t>(</w:t>
            </w:r>
            <w:r w:rsidR="00363895">
              <w:rPr>
                <w:rFonts w:cs="Arial"/>
                <w:color w:val="000000"/>
                <w:lang w:eastAsia="zh-CN" w:bidi="th-TH"/>
              </w:rPr>
              <w:t>35,019</w:t>
            </w:r>
            <w:r>
              <w:rPr>
                <w:rFonts w:cs="Arial"/>
                <w:color w:val="000000"/>
                <w:lang w:eastAsia="zh-CN" w:bidi="th-TH"/>
              </w:rPr>
              <w:t>)</w:t>
            </w:r>
          </w:p>
        </w:tc>
        <w:tc>
          <w:tcPr>
            <w:tcW w:w="1691" w:type="dxa"/>
            <w:shd w:val="clear" w:color="auto" w:fill="auto"/>
            <w:vAlign w:val="center"/>
            <w:hideMark/>
          </w:tcPr>
          <w:p w14:paraId="0501205C" w14:textId="22D9908D" w:rsidR="008D2291" w:rsidRPr="003A7C01" w:rsidRDefault="00097D97" w:rsidP="0B2DEDFC">
            <w:pPr>
              <w:spacing w:after="0" w:line="240" w:lineRule="auto"/>
              <w:jc w:val="right"/>
              <w:rPr>
                <w:rFonts w:cs="Arial"/>
                <w:color w:val="000000"/>
                <w:lang w:eastAsia="zh-CN" w:bidi="th-TH"/>
              </w:rPr>
            </w:pPr>
            <w:r>
              <w:rPr>
                <w:rFonts w:cs="Arial"/>
                <w:color w:val="000000"/>
                <w:lang w:eastAsia="zh-CN" w:bidi="th-TH"/>
              </w:rPr>
              <w:t>(36,765)</w:t>
            </w:r>
          </w:p>
        </w:tc>
      </w:tr>
      <w:tr w:rsidR="008D2291" w:rsidRPr="003A7C01" w14:paraId="341A8FB2" w14:textId="77777777" w:rsidTr="00B067B4">
        <w:trPr>
          <w:trHeight w:val="752"/>
        </w:trPr>
        <w:tc>
          <w:tcPr>
            <w:tcW w:w="4134" w:type="dxa"/>
            <w:shd w:val="clear" w:color="auto" w:fill="auto"/>
            <w:vAlign w:val="center"/>
            <w:hideMark/>
          </w:tcPr>
          <w:p w14:paraId="036DE41A"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Administration </w:t>
            </w:r>
          </w:p>
        </w:tc>
        <w:tc>
          <w:tcPr>
            <w:tcW w:w="1834" w:type="dxa"/>
            <w:shd w:val="clear" w:color="auto" w:fill="auto"/>
            <w:vAlign w:val="center"/>
            <w:hideMark/>
          </w:tcPr>
          <w:p w14:paraId="37B7D147"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(6,350)</w:t>
            </w:r>
          </w:p>
        </w:tc>
        <w:tc>
          <w:tcPr>
            <w:tcW w:w="1834" w:type="dxa"/>
            <w:shd w:val="clear" w:color="auto" w:fill="D9D9D9" w:themeFill="background1" w:themeFillShade="D9"/>
            <w:vAlign w:val="center"/>
            <w:hideMark/>
          </w:tcPr>
          <w:p w14:paraId="575A74C6" w14:textId="14299481" w:rsidR="008D2291" w:rsidRPr="003A7C01" w:rsidRDefault="00A3162D" w:rsidP="0B2DEDFC">
            <w:pPr>
              <w:spacing w:after="0" w:line="240" w:lineRule="auto"/>
              <w:jc w:val="right"/>
              <w:rPr>
                <w:rFonts w:cs="Arial"/>
                <w:color w:val="000000"/>
                <w:lang w:eastAsia="zh-CN" w:bidi="th-TH"/>
              </w:rPr>
            </w:pPr>
            <w:r>
              <w:rPr>
                <w:rFonts w:cs="Arial"/>
                <w:color w:val="000000"/>
                <w:lang w:eastAsia="zh-CN" w:bidi="th-TH"/>
              </w:rPr>
              <w:t>(7</w:t>
            </w:r>
            <w:r w:rsidR="00363895">
              <w:rPr>
                <w:rFonts w:cs="Arial"/>
                <w:color w:val="000000"/>
                <w:lang w:eastAsia="zh-CN" w:bidi="th-TH"/>
              </w:rPr>
              <w:t>,708)</w:t>
            </w:r>
          </w:p>
        </w:tc>
        <w:tc>
          <w:tcPr>
            <w:tcW w:w="1691" w:type="dxa"/>
            <w:shd w:val="clear" w:color="auto" w:fill="auto"/>
            <w:vAlign w:val="center"/>
            <w:hideMark/>
          </w:tcPr>
          <w:p w14:paraId="443EB109" w14:textId="40269754" w:rsidR="008D2291" w:rsidRPr="003A7C01" w:rsidRDefault="00BD06C5" w:rsidP="0B2DEDFC">
            <w:pPr>
              <w:spacing w:after="0" w:line="240" w:lineRule="auto"/>
              <w:jc w:val="right"/>
              <w:rPr>
                <w:rFonts w:cs="Arial"/>
                <w:color w:val="000000"/>
                <w:lang w:eastAsia="zh-CN" w:bidi="th-TH"/>
              </w:rPr>
            </w:pPr>
            <w:r>
              <w:rPr>
                <w:rFonts w:cs="Arial"/>
                <w:color w:val="000000"/>
                <w:lang w:eastAsia="zh-CN" w:bidi="th-TH"/>
              </w:rPr>
              <w:t>(6,886)</w:t>
            </w:r>
          </w:p>
        </w:tc>
      </w:tr>
      <w:tr w:rsidR="008D2291" w:rsidRPr="003A7C01" w14:paraId="005DE55C" w14:textId="77777777" w:rsidTr="00B067B4">
        <w:trPr>
          <w:trHeight w:val="752"/>
        </w:trPr>
        <w:tc>
          <w:tcPr>
            <w:tcW w:w="4134" w:type="dxa"/>
            <w:shd w:val="clear" w:color="auto" w:fill="auto"/>
            <w:vAlign w:val="center"/>
            <w:hideMark/>
          </w:tcPr>
          <w:p w14:paraId="7A0768F1" w14:textId="77777777" w:rsidR="008D2291" w:rsidRPr="003A7C01" w:rsidRDefault="008D2291" w:rsidP="00417688">
            <w:pPr>
              <w:spacing w:after="0" w:line="240" w:lineRule="auto"/>
              <w:rPr>
                <w:rFonts w:cs="Arial"/>
                <w:color w:val="000000"/>
                <w:szCs w:val="22"/>
                <w:lang w:eastAsia="zh-CN" w:bidi="th-TH"/>
              </w:rPr>
            </w:pPr>
            <w:r w:rsidRPr="003A7C01">
              <w:rPr>
                <w:rFonts w:cs="Arial"/>
                <w:color w:val="000000"/>
                <w:szCs w:val="22"/>
                <w:lang w:eastAsia="zh-CN" w:bidi="th-TH"/>
              </w:rPr>
              <w:t>Depreciation and Revaluation </w:t>
            </w:r>
          </w:p>
        </w:tc>
        <w:tc>
          <w:tcPr>
            <w:tcW w:w="1834" w:type="dxa"/>
            <w:shd w:val="clear" w:color="auto" w:fill="auto"/>
            <w:vAlign w:val="center"/>
            <w:hideMark/>
          </w:tcPr>
          <w:p w14:paraId="435888A0" w14:textId="77777777" w:rsidR="0B2DEDFC" w:rsidRDefault="0B2DEDFC" w:rsidP="0B2DEDFC">
            <w:pPr>
              <w:spacing w:after="0" w:line="240" w:lineRule="auto"/>
              <w:jc w:val="right"/>
              <w:rPr>
                <w:rFonts w:cs="Arial"/>
                <w:color w:val="000000" w:themeColor="text1"/>
                <w:lang w:eastAsia="zh-CN" w:bidi="th-TH"/>
              </w:rPr>
            </w:pPr>
            <w:r w:rsidRPr="0B2DEDFC">
              <w:rPr>
                <w:rFonts w:cs="Arial"/>
                <w:color w:val="000000" w:themeColor="text1"/>
                <w:lang w:eastAsia="zh-CN" w:bidi="th-TH"/>
              </w:rPr>
              <w:t>(568)</w:t>
            </w:r>
          </w:p>
        </w:tc>
        <w:tc>
          <w:tcPr>
            <w:tcW w:w="1834" w:type="dxa"/>
            <w:shd w:val="clear" w:color="auto" w:fill="D9D9D9" w:themeFill="background1" w:themeFillShade="D9"/>
            <w:vAlign w:val="center"/>
            <w:hideMark/>
          </w:tcPr>
          <w:p w14:paraId="23DCC666" w14:textId="44F0D022" w:rsidR="008D2291" w:rsidRPr="003A7C01" w:rsidRDefault="00363895" w:rsidP="0B2DEDFC">
            <w:pPr>
              <w:spacing w:after="0" w:line="240" w:lineRule="auto"/>
              <w:jc w:val="right"/>
              <w:rPr>
                <w:rFonts w:cs="Arial"/>
                <w:color w:val="000000"/>
                <w:lang w:eastAsia="zh-CN" w:bidi="th-TH"/>
              </w:rPr>
            </w:pPr>
            <w:r>
              <w:rPr>
                <w:rFonts w:cs="Arial"/>
                <w:color w:val="000000"/>
                <w:lang w:eastAsia="zh-CN" w:bidi="th-TH"/>
              </w:rPr>
              <w:t>(1,389)</w:t>
            </w:r>
          </w:p>
        </w:tc>
        <w:tc>
          <w:tcPr>
            <w:tcW w:w="1691" w:type="dxa"/>
            <w:shd w:val="clear" w:color="auto" w:fill="auto"/>
            <w:vAlign w:val="center"/>
            <w:hideMark/>
          </w:tcPr>
          <w:p w14:paraId="67B4062D" w14:textId="4F1F0253" w:rsidR="008D2291" w:rsidRPr="003A7C01" w:rsidRDefault="00BD06C5" w:rsidP="0B2DEDFC">
            <w:pPr>
              <w:spacing w:after="0" w:line="240" w:lineRule="auto"/>
              <w:jc w:val="right"/>
              <w:rPr>
                <w:rFonts w:cs="Arial"/>
                <w:color w:val="000000"/>
                <w:lang w:eastAsia="zh-CN" w:bidi="th-TH"/>
              </w:rPr>
            </w:pPr>
            <w:r>
              <w:rPr>
                <w:rFonts w:cs="Arial"/>
                <w:color w:val="000000"/>
                <w:lang w:eastAsia="zh-CN" w:bidi="th-TH"/>
              </w:rPr>
              <w:t>(756)</w:t>
            </w:r>
          </w:p>
        </w:tc>
      </w:tr>
      <w:tr w:rsidR="008D2291" w:rsidRPr="003A7C01" w14:paraId="5153D387" w14:textId="77777777" w:rsidTr="00B067B4">
        <w:trPr>
          <w:trHeight w:val="752"/>
        </w:trPr>
        <w:tc>
          <w:tcPr>
            <w:tcW w:w="4134" w:type="dxa"/>
            <w:shd w:val="clear" w:color="auto" w:fill="D9D9D9" w:themeFill="background1" w:themeFillShade="D9"/>
            <w:vAlign w:val="center"/>
            <w:hideMark/>
          </w:tcPr>
          <w:p w14:paraId="2D34BB50" w14:textId="77777777" w:rsidR="008D2291" w:rsidRPr="003A7C01" w:rsidRDefault="008D2291" w:rsidP="00417688">
            <w:pPr>
              <w:spacing w:after="0" w:line="240" w:lineRule="auto"/>
              <w:rPr>
                <w:rFonts w:cs="Arial"/>
                <w:b/>
                <w:bCs/>
                <w:color w:val="000000"/>
                <w:szCs w:val="22"/>
                <w:lang w:eastAsia="zh-CN" w:bidi="th-TH"/>
              </w:rPr>
            </w:pPr>
            <w:r w:rsidRPr="003A7C01">
              <w:rPr>
                <w:rFonts w:cs="Arial"/>
                <w:b/>
                <w:bCs/>
                <w:color w:val="000000"/>
                <w:szCs w:val="22"/>
                <w:lang w:eastAsia="zh-CN" w:bidi="th-TH"/>
              </w:rPr>
              <w:t>Total Expenditure</w:t>
            </w:r>
            <w:r w:rsidRPr="003A7C01">
              <w:rPr>
                <w:rFonts w:cs="Arial"/>
                <w:color w:val="000000"/>
                <w:szCs w:val="22"/>
                <w:lang w:eastAsia="zh-CN" w:bidi="th-TH"/>
              </w:rPr>
              <w:t> </w:t>
            </w:r>
          </w:p>
        </w:tc>
        <w:tc>
          <w:tcPr>
            <w:tcW w:w="1834" w:type="dxa"/>
            <w:shd w:val="clear" w:color="auto" w:fill="D9D9D9" w:themeFill="background1" w:themeFillShade="D9"/>
            <w:vAlign w:val="center"/>
            <w:hideMark/>
          </w:tcPr>
          <w:p w14:paraId="0FC71CD5" w14:textId="77777777" w:rsidR="0B2DEDFC" w:rsidRDefault="0B2DEDFC" w:rsidP="0B2DEDFC">
            <w:pPr>
              <w:spacing w:after="0" w:line="240" w:lineRule="auto"/>
              <w:jc w:val="right"/>
              <w:rPr>
                <w:rFonts w:cs="Arial"/>
                <w:b/>
                <w:bCs/>
                <w:color w:val="000000" w:themeColor="text1"/>
                <w:lang w:eastAsia="zh-CN" w:bidi="th-TH"/>
              </w:rPr>
            </w:pPr>
            <w:r w:rsidRPr="0B2DEDFC">
              <w:rPr>
                <w:rFonts w:cs="Arial"/>
                <w:b/>
                <w:bCs/>
                <w:color w:val="000000" w:themeColor="text1"/>
                <w:lang w:eastAsia="zh-CN" w:bidi="th-TH"/>
              </w:rPr>
              <w:t>(88,220)</w:t>
            </w:r>
          </w:p>
        </w:tc>
        <w:tc>
          <w:tcPr>
            <w:tcW w:w="1834" w:type="dxa"/>
            <w:shd w:val="clear" w:color="auto" w:fill="D9D9D9" w:themeFill="background1" w:themeFillShade="D9"/>
            <w:vAlign w:val="center"/>
            <w:hideMark/>
          </w:tcPr>
          <w:p w14:paraId="1069FD47" w14:textId="77AB54C0" w:rsidR="008D2291" w:rsidRPr="003A7C01" w:rsidRDefault="00363895" w:rsidP="0B2DEDFC">
            <w:pPr>
              <w:spacing w:after="0" w:line="240" w:lineRule="auto"/>
              <w:jc w:val="right"/>
              <w:rPr>
                <w:rFonts w:cs="Arial"/>
                <w:b/>
                <w:bCs/>
                <w:color w:val="000000"/>
                <w:lang w:eastAsia="zh-CN" w:bidi="th-TH"/>
              </w:rPr>
            </w:pPr>
            <w:r>
              <w:rPr>
                <w:rFonts w:cs="Arial"/>
                <w:b/>
                <w:bCs/>
                <w:color w:val="000000"/>
                <w:lang w:eastAsia="zh-CN" w:bidi="th-TH"/>
              </w:rPr>
              <w:t>(97,072)</w:t>
            </w:r>
          </w:p>
        </w:tc>
        <w:tc>
          <w:tcPr>
            <w:tcW w:w="1691" w:type="dxa"/>
            <w:shd w:val="clear" w:color="auto" w:fill="D9D9D9" w:themeFill="background1" w:themeFillShade="D9"/>
            <w:vAlign w:val="center"/>
            <w:hideMark/>
          </w:tcPr>
          <w:p w14:paraId="4D264C8E" w14:textId="7829AC01" w:rsidR="008D2291" w:rsidRPr="003A7C01" w:rsidRDefault="00BD06C5" w:rsidP="0B2DEDFC">
            <w:pPr>
              <w:spacing w:after="0" w:line="240" w:lineRule="auto"/>
              <w:jc w:val="right"/>
              <w:rPr>
                <w:rFonts w:cs="Arial"/>
                <w:b/>
                <w:bCs/>
                <w:color w:val="000000"/>
                <w:lang w:eastAsia="zh-CN" w:bidi="th-TH"/>
              </w:rPr>
            </w:pPr>
            <w:r>
              <w:rPr>
                <w:rFonts w:cs="Arial"/>
                <w:b/>
                <w:bCs/>
                <w:color w:val="000000"/>
                <w:lang w:eastAsia="zh-CN" w:bidi="th-TH"/>
              </w:rPr>
              <w:t>(</w:t>
            </w:r>
            <w:r w:rsidR="004E462E">
              <w:rPr>
                <w:rFonts w:cs="Arial"/>
                <w:b/>
                <w:bCs/>
                <w:color w:val="000000"/>
                <w:lang w:eastAsia="zh-CN" w:bidi="th-TH"/>
              </w:rPr>
              <w:t>92,737)</w:t>
            </w:r>
          </w:p>
        </w:tc>
      </w:tr>
    </w:tbl>
    <w:p w14:paraId="515AFF76" w14:textId="77777777" w:rsidR="009656BE" w:rsidRDefault="009656BE" w:rsidP="008A7471"/>
    <w:sectPr w:rsidR="009656BE" w:rsidSect="00134064">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1FA13" w14:textId="77777777" w:rsidR="00DD0C25" w:rsidRDefault="00DD0C25">
      <w:pPr>
        <w:spacing w:after="0" w:line="240" w:lineRule="auto"/>
      </w:pPr>
      <w:r>
        <w:separator/>
      </w:r>
    </w:p>
  </w:endnote>
  <w:endnote w:type="continuationSeparator" w:id="0">
    <w:p w14:paraId="2415DD1B" w14:textId="77777777" w:rsidR="00DD0C25" w:rsidRDefault="00DD0C25">
      <w:pPr>
        <w:spacing w:after="0" w:line="240" w:lineRule="auto"/>
      </w:pPr>
      <w:r>
        <w:continuationSeparator/>
      </w:r>
    </w:p>
  </w:endnote>
  <w:endnote w:type="continuationNotice" w:id="1">
    <w:p w14:paraId="4B308F4B" w14:textId="77777777" w:rsidR="00DD0C25" w:rsidRDefault="00DD0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3A79B0F">
            <v:line id="Straight Connector 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19218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B8DA1DB">
            <v:line id="Straight Connector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5867A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93317" w14:textId="77777777" w:rsidR="00DD0C25" w:rsidRDefault="00DD0C25">
      <w:pPr>
        <w:spacing w:after="0" w:line="240" w:lineRule="auto"/>
      </w:pPr>
      <w:r>
        <w:separator/>
      </w:r>
    </w:p>
  </w:footnote>
  <w:footnote w:type="continuationSeparator" w:id="0">
    <w:p w14:paraId="45E32573" w14:textId="77777777" w:rsidR="00DD0C25" w:rsidRDefault="00DD0C25">
      <w:pPr>
        <w:spacing w:after="0" w:line="240" w:lineRule="auto"/>
      </w:pPr>
      <w:r>
        <w:continuationSeparator/>
      </w:r>
    </w:p>
  </w:footnote>
  <w:footnote w:type="continuationNotice" w:id="1">
    <w:p w14:paraId="1996E48A" w14:textId="77777777" w:rsidR="00DD0C25" w:rsidRDefault="00DD0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A654" w14:textId="77777777"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7F1D6F0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4A39445B"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w14:anchorId="148927E7">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38C6B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 xml:space="preserve">2023-24 Quarter </w:t>
    </w:r>
    <w:r w:rsidR="00AA3425">
      <w:rPr>
        <w:rFonts w:ascii="Arial Bold" w:hAnsi="Arial Bold" w:cs="Arial"/>
        <w:b/>
        <w:color w:val="B1005D"/>
        <w:sz w:val="18"/>
        <w:szCs w:val="18"/>
      </w:rPr>
      <w:t>Four Rep</w:t>
    </w:r>
    <w:r w:rsidR="00366E11">
      <w:rPr>
        <w:rFonts w:ascii="Arial Bold" w:hAnsi="Arial Bold" w:cs="Arial"/>
        <w:b/>
        <w:color w:val="B1005D"/>
        <w:sz w:val="18"/>
        <w:szCs w:val="18"/>
      </w:rPr>
      <w:t>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60293" behindDoc="1" locked="0" layoutInCell="1" allowOverlap="1" wp14:anchorId="477E8A49" wp14:editId="5C8BDF78">
          <wp:simplePos x="0" y="0"/>
          <wp:positionH relativeFrom="page">
            <wp:posOffset>0</wp:posOffset>
          </wp:positionH>
          <wp:positionV relativeFrom="page">
            <wp:posOffset>0</wp:posOffset>
          </wp:positionV>
          <wp:extent cx="7560000" cy="1270800"/>
          <wp:effectExtent l="0" t="0" r="0" b="0"/>
          <wp:wrapNone/>
          <wp:docPr id="1847288000" name="Picture 18472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6"/>
  </w:num>
  <w:num w:numId="25" w16cid:durableId="1052269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kwrQUAwS7wWywAAAA="/>
  </w:docVars>
  <w:rsids>
    <w:rsidRoot w:val="008A7471"/>
    <w:rsid w:val="0000363D"/>
    <w:rsid w:val="00003CF7"/>
    <w:rsid w:val="000055D5"/>
    <w:rsid w:val="00006700"/>
    <w:rsid w:val="0000731B"/>
    <w:rsid w:val="00007954"/>
    <w:rsid w:val="000101AD"/>
    <w:rsid w:val="00011FB7"/>
    <w:rsid w:val="00012DC6"/>
    <w:rsid w:val="00012F07"/>
    <w:rsid w:val="00013720"/>
    <w:rsid w:val="000168A4"/>
    <w:rsid w:val="00030007"/>
    <w:rsid w:val="000315EB"/>
    <w:rsid w:val="00032C2F"/>
    <w:rsid w:val="00042D08"/>
    <w:rsid w:val="00043F10"/>
    <w:rsid w:val="000443F0"/>
    <w:rsid w:val="00046488"/>
    <w:rsid w:val="00046F8C"/>
    <w:rsid w:val="00047943"/>
    <w:rsid w:val="00047DF7"/>
    <w:rsid w:val="00050DFA"/>
    <w:rsid w:val="000511A5"/>
    <w:rsid w:val="00051AAC"/>
    <w:rsid w:val="00052CC2"/>
    <w:rsid w:val="00053F39"/>
    <w:rsid w:val="00054AA3"/>
    <w:rsid w:val="000551D2"/>
    <w:rsid w:val="00056D2F"/>
    <w:rsid w:val="0005766A"/>
    <w:rsid w:val="00057E54"/>
    <w:rsid w:val="00061194"/>
    <w:rsid w:val="00062818"/>
    <w:rsid w:val="000629BC"/>
    <w:rsid w:val="0006512A"/>
    <w:rsid w:val="00065D7C"/>
    <w:rsid w:val="00065FA9"/>
    <w:rsid w:val="00066921"/>
    <w:rsid w:val="00066FB6"/>
    <w:rsid w:val="00070301"/>
    <w:rsid w:val="00073852"/>
    <w:rsid w:val="000738A2"/>
    <w:rsid w:val="00074DBE"/>
    <w:rsid w:val="00077831"/>
    <w:rsid w:val="0007785B"/>
    <w:rsid w:val="00081C50"/>
    <w:rsid w:val="00082332"/>
    <w:rsid w:val="00083A73"/>
    <w:rsid w:val="000843DB"/>
    <w:rsid w:val="0008464D"/>
    <w:rsid w:val="000855C3"/>
    <w:rsid w:val="00085934"/>
    <w:rsid w:val="00092107"/>
    <w:rsid w:val="00092CBC"/>
    <w:rsid w:val="000964B7"/>
    <w:rsid w:val="000966A4"/>
    <w:rsid w:val="00096B52"/>
    <w:rsid w:val="00096D29"/>
    <w:rsid w:val="0009729F"/>
    <w:rsid w:val="00097448"/>
    <w:rsid w:val="00097B75"/>
    <w:rsid w:val="00097D97"/>
    <w:rsid w:val="000A0349"/>
    <w:rsid w:val="000A0437"/>
    <w:rsid w:val="000A0A14"/>
    <w:rsid w:val="000A23E0"/>
    <w:rsid w:val="000A2FBE"/>
    <w:rsid w:val="000A3192"/>
    <w:rsid w:val="000A3C2D"/>
    <w:rsid w:val="000A6698"/>
    <w:rsid w:val="000B18B2"/>
    <w:rsid w:val="000B1BAA"/>
    <w:rsid w:val="000B2451"/>
    <w:rsid w:val="000C11B3"/>
    <w:rsid w:val="000C14B8"/>
    <w:rsid w:val="000C1648"/>
    <w:rsid w:val="000C1781"/>
    <w:rsid w:val="000C33B9"/>
    <w:rsid w:val="000C3DF5"/>
    <w:rsid w:val="000C5254"/>
    <w:rsid w:val="000C681C"/>
    <w:rsid w:val="000C7FB4"/>
    <w:rsid w:val="000D273F"/>
    <w:rsid w:val="000D2C9F"/>
    <w:rsid w:val="000D423D"/>
    <w:rsid w:val="000D48C2"/>
    <w:rsid w:val="000D4D7D"/>
    <w:rsid w:val="000D51FF"/>
    <w:rsid w:val="000D751B"/>
    <w:rsid w:val="000D7C27"/>
    <w:rsid w:val="000E0791"/>
    <w:rsid w:val="000E6FC7"/>
    <w:rsid w:val="000E78F8"/>
    <w:rsid w:val="000E7AB2"/>
    <w:rsid w:val="000F0C95"/>
    <w:rsid w:val="000F1F56"/>
    <w:rsid w:val="000F1F99"/>
    <w:rsid w:val="000F205E"/>
    <w:rsid w:val="000F3DB1"/>
    <w:rsid w:val="000F473B"/>
    <w:rsid w:val="000F5D53"/>
    <w:rsid w:val="000F6F1C"/>
    <w:rsid w:val="000F7632"/>
    <w:rsid w:val="000F7B6C"/>
    <w:rsid w:val="0010136E"/>
    <w:rsid w:val="00102230"/>
    <w:rsid w:val="00102AC2"/>
    <w:rsid w:val="00104769"/>
    <w:rsid w:val="00105412"/>
    <w:rsid w:val="00105467"/>
    <w:rsid w:val="0010759F"/>
    <w:rsid w:val="00111796"/>
    <w:rsid w:val="00112CA5"/>
    <w:rsid w:val="001155F7"/>
    <w:rsid w:val="00115AEE"/>
    <w:rsid w:val="00116EC4"/>
    <w:rsid w:val="00121784"/>
    <w:rsid w:val="00122E1E"/>
    <w:rsid w:val="00123ACF"/>
    <w:rsid w:val="0012449A"/>
    <w:rsid w:val="001244F5"/>
    <w:rsid w:val="00124A07"/>
    <w:rsid w:val="00124DB1"/>
    <w:rsid w:val="00125593"/>
    <w:rsid w:val="001261EC"/>
    <w:rsid w:val="00126C38"/>
    <w:rsid w:val="001271E7"/>
    <w:rsid w:val="0013032D"/>
    <w:rsid w:val="00131B6B"/>
    <w:rsid w:val="00131BF1"/>
    <w:rsid w:val="00133AC1"/>
    <w:rsid w:val="00134064"/>
    <w:rsid w:val="00137131"/>
    <w:rsid w:val="00141544"/>
    <w:rsid w:val="00141CBD"/>
    <w:rsid w:val="001423A0"/>
    <w:rsid w:val="001442B1"/>
    <w:rsid w:val="00146067"/>
    <w:rsid w:val="00146813"/>
    <w:rsid w:val="00150B98"/>
    <w:rsid w:val="00151E61"/>
    <w:rsid w:val="001529B6"/>
    <w:rsid w:val="00153F81"/>
    <w:rsid w:val="001548DD"/>
    <w:rsid w:val="0015634A"/>
    <w:rsid w:val="00157397"/>
    <w:rsid w:val="001573E6"/>
    <w:rsid w:val="001600C6"/>
    <w:rsid w:val="00160579"/>
    <w:rsid w:val="001618E9"/>
    <w:rsid w:val="001623E2"/>
    <w:rsid w:val="0016267F"/>
    <w:rsid w:val="0016357C"/>
    <w:rsid w:val="00163CC3"/>
    <w:rsid w:val="0016445A"/>
    <w:rsid w:val="001648B6"/>
    <w:rsid w:val="00164ABB"/>
    <w:rsid w:val="00165333"/>
    <w:rsid w:val="0017094E"/>
    <w:rsid w:val="001710EE"/>
    <w:rsid w:val="00172D99"/>
    <w:rsid w:val="0017501A"/>
    <w:rsid w:val="00176774"/>
    <w:rsid w:val="001803D6"/>
    <w:rsid w:val="00181C91"/>
    <w:rsid w:val="00181ECE"/>
    <w:rsid w:val="00182147"/>
    <w:rsid w:val="00182437"/>
    <w:rsid w:val="00185072"/>
    <w:rsid w:val="00185DCF"/>
    <w:rsid w:val="0018629E"/>
    <w:rsid w:val="00187B17"/>
    <w:rsid w:val="00190307"/>
    <w:rsid w:val="00190A92"/>
    <w:rsid w:val="00192FC1"/>
    <w:rsid w:val="00193E35"/>
    <w:rsid w:val="00194337"/>
    <w:rsid w:val="00194CAC"/>
    <w:rsid w:val="00194FE7"/>
    <w:rsid w:val="00195E1D"/>
    <w:rsid w:val="001A267E"/>
    <w:rsid w:val="001A27AB"/>
    <w:rsid w:val="001A3478"/>
    <w:rsid w:val="001B023E"/>
    <w:rsid w:val="001B1907"/>
    <w:rsid w:val="001B337D"/>
    <w:rsid w:val="001B5543"/>
    <w:rsid w:val="001B56C6"/>
    <w:rsid w:val="001B57F9"/>
    <w:rsid w:val="001B6F8A"/>
    <w:rsid w:val="001B762D"/>
    <w:rsid w:val="001C0014"/>
    <w:rsid w:val="001C197A"/>
    <w:rsid w:val="001C2094"/>
    <w:rsid w:val="001C2560"/>
    <w:rsid w:val="001C2FA3"/>
    <w:rsid w:val="001C3BEC"/>
    <w:rsid w:val="001C4390"/>
    <w:rsid w:val="001C4D0F"/>
    <w:rsid w:val="001C4D27"/>
    <w:rsid w:val="001D01E3"/>
    <w:rsid w:val="001D102B"/>
    <w:rsid w:val="001D21CA"/>
    <w:rsid w:val="001D2F76"/>
    <w:rsid w:val="001D4503"/>
    <w:rsid w:val="001D4587"/>
    <w:rsid w:val="001D526D"/>
    <w:rsid w:val="001E142E"/>
    <w:rsid w:val="001E2D5B"/>
    <w:rsid w:val="001E3077"/>
    <w:rsid w:val="001E3078"/>
    <w:rsid w:val="001E348D"/>
    <w:rsid w:val="001E474C"/>
    <w:rsid w:val="001E49FC"/>
    <w:rsid w:val="001E578D"/>
    <w:rsid w:val="001E5D0D"/>
    <w:rsid w:val="001F07D9"/>
    <w:rsid w:val="001F4480"/>
    <w:rsid w:val="001F4753"/>
    <w:rsid w:val="001F4D90"/>
    <w:rsid w:val="001F57E3"/>
    <w:rsid w:val="001F5D5F"/>
    <w:rsid w:val="001F62CA"/>
    <w:rsid w:val="00200D07"/>
    <w:rsid w:val="00202466"/>
    <w:rsid w:val="00203CC4"/>
    <w:rsid w:val="00204ABA"/>
    <w:rsid w:val="00204CE6"/>
    <w:rsid w:val="00205C07"/>
    <w:rsid w:val="00205F61"/>
    <w:rsid w:val="002063B7"/>
    <w:rsid w:val="002070FA"/>
    <w:rsid w:val="00210FA1"/>
    <w:rsid w:val="002110D2"/>
    <w:rsid w:val="00211F93"/>
    <w:rsid w:val="00212B87"/>
    <w:rsid w:val="00215A92"/>
    <w:rsid w:val="0021652E"/>
    <w:rsid w:val="00217DAD"/>
    <w:rsid w:val="00221939"/>
    <w:rsid w:val="00223BAF"/>
    <w:rsid w:val="00224324"/>
    <w:rsid w:val="00225411"/>
    <w:rsid w:val="002258AD"/>
    <w:rsid w:val="00230090"/>
    <w:rsid w:val="00230CE7"/>
    <w:rsid w:val="00230F9C"/>
    <w:rsid w:val="002314E7"/>
    <w:rsid w:val="002321E9"/>
    <w:rsid w:val="0023242D"/>
    <w:rsid w:val="002325A4"/>
    <w:rsid w:val="00236A50"/>
    <w:rsid w:val="00236F1F"/>
    <w:rsid w:val="002400E8"/>
    <w:rsid w:val="00240263"/>
    <w:rsid w:val="00240A0F"/>
    <w:rsid w:val="0024192D"/>
    <w:rsid w:val="00241A5C"/>
    <w:rsid w:val="00244242"/>
    <w:rsid w:val="00244E32"/>
    <w:rsid w:val="002474CD"/>
    <w:rsid w:val="00247FE6"/>
    <w:rsid w:val="002508F5"/>
    <w:rsid w:val="00250E42"/>
    <w:rsid w:val="00252B37"/>
    <w:rsid w:val="002530AC"/>
    <w:rsid w:val="00254EF0"/>
    <w:rsid w:val="00254F50"/>
    <w:rsid w:val="002577B4"/>
    <w:rsid w:val="00257B0C"/>
    <w:rsid w:val="00257D8E"/>
    <w:rsid w:val="00257E8B"/>
    <w:rsid w:val="002618E8"/>
    <w:rsid w:val="00261E14"/>
    <w:rsid w:val="00261F85"/>
    <w:rsid w:val="00263844"/>
    <w:rsid w:val="0026665A"/>
    <w:rsid w:val="00270E39"/>
    <w:rsid w:val="002714D4"/>
    <w:rsid w:val="00271ED1"/>
    <w:rsid w:val="00271FA0"/>
    <w:rsid w:val="00272291"/>
    <w:rsid w:val="002722E4"/>
    <w:rsid w:val="00272765"/>
    <w:rsid w:val="002729E8"/>
    <w:rsid w:val="00273784"/>
    <w:rsid w:val="00273945"/>
    <w:rsid w:val="002751CD"/>
    <w:rsid w:val="002760F5"/>
    <w:rsid w:val="00276185"/>
    <w:rsid w:val="002766CF"/>
    <w:rsid w:val="00276D14"/>
    <w:rsid w:val="0028014A"/>
    <w:rsid w:val="00280EEA"/>
    <w:rsid w:val="00280FAF"/>
    <w:rsid w:val="00281BC1"/>
    <w:rsid w:val="00283471"/>
    <w:rsid w:val="00283AC7"/>
    <w:rsid w:val="00284694"/>
    <w:rsid w:val="00284B39"/>
    <w:rsid w:val="002863EC"/>
    <w:rsid w:val="0028649A"/>
    <w:rsid w:val="00286A65"/>
    <w:rsid w:val="00286C18"/>
    <w:rsid w:val="00286CAE"/>
    <w:rsid w:val="002910F9"/>
    <w:rsid w:val="002915FB"/>
    <w:rsid w:val="00291A1E"/>
    <w:rsid w:val="00295D37"/>
    <w:rsid w:val="00296755"/>
    <w:rsid w:val="002A00F7"/>
    <w:rsid w:val="002A238B"/>
    <w:rsid w:val="002A26C4"/>
    <w:rsid w:val="002A4595"/>
    <w:rsid w:val="002A764E"/>
    <w:rsid w:val="002B00D3"/>
    <w:rsid w:val="002B2498"/>
    <w:rsid w:val="002B2E86"/>
    <w:rsid w:val="002B3CE4"/>
    <w:rsid w:val="002B47E0"/>
    <w:rsid w:val="002B5281"/>
    <w:rsid w:val="002B54CC"/>
    <w:rsid w:val="002C118A"/>
    <w:rsid w:val="002C3253"/>
    <w:rsid w:val="002C3A5E"/>
    <w:rsid w:val="002C4EF6"/>
    <w:rsid w:val="002C776F"/>
    <w:rsid w:val="002D1F2E"/>
    <w:rsid w:val="002D314B"/>
    <w:rsid w:val="002D323B"/>
    <w:rsid w:val="002D3707"/>
    <w:rsid w:val="002D40B1"/>
    <w:rsid w:val="002D48AB"/>
    <w:rsid w:val="002D4FDC"/>
    <w:rsid w:val="002D5773"/>
    <w:rsid w:val="002D6252"/>
    <w:rsid w:val="002D707C"/>
    <w:rsid w:val="002D7F39"/>
    <w:rsid w:val="002E3AB9"/>
    <w:rsid w:val="002E4ECC"/>
    <w:rsid w:val="002E65E7"/>
    <w:rsid w:val="002E69B8"/>
    <w:rsid w:val="002E6C79"/>
    <w:rsid w:val="002E779C"/>
    <w:rsid w:val="002F0A03"/>
    <w:rsid w:val="002F2A8B"/>
    <w:rsid w:val="002F30A7"/>
    <w:rsid w:val="002F3B51"/>
    <w:rsid w:val="002F4BE8"/>
    <w:rsid w:val="002F6A2D"/>
    <w:rsid w:val="00300E25"/>
    <w:rsid w:val="00300FDB"/>
    <w:rsid w:val="00302100"/>
    <w:rsid w:val="00303C8F"/>
    <w:rsid w:val="003052FD"/>
    <w:rsid w:val="003059FE"/>
    <w:rsid w:val="003118D3"/>
    <w:rsid w:val="0031233A"/>
    <w:rsid w:val="003133DC"/>
    <w:rsid w:val="0031443C"/>
    <w:rsid w:val="00317463"/>
    <w:rsid w:val="0031769C"/>
    <w:rsid w:val="00320643"/>
    <w:rsid w:val="00320889"/>
    <w:rsid w:val="00320FDF"/>
    <w:rsid w:val="003219E0"/>
    <w:rsid w:val="00323CE4"/>
    <w:rsid w:val="00324EB3"/>
    <w:rsid w:val="00325353"/>
    <w:rsid w:val="00327794"/>
    <w:rsid w:val="003332EA"/>
    <w:rsid w:val="003348B5"/>
    <w:rsid w:val="0033741B"/>
    <w:rsid w:val="003412BA"/>
    <w:rsid w:val="003413B2"/>
    <w:rsid w:val="0034189E"/>
    <w:rsid w:val="003420C8"/>
    <w:rsid w:val="00342B2F"/>
    <w:rsid w:val="00343489"/>
    <w:rsid w:val="003436A1"/>
    <w:rsid w:val="003442B5"/>
    <w:rsid w:val="0034629B"/>
    <w:rsid w:val="003468C6"/>
    <w:rsid w:val="003509DB"/>
    <w:rsid w:val="00350DC6"/>
    <w:rsid w:val="00351F9B"/>
    <w:rsid w:val="003537A9"/>
    <w:rsid w:val="003538EF"/>
    <w:rsid w:val="00353D3E"/>
    <w:rsid w:val="003561E5"/>
    <w:rsid w:val="0035766B"/>
    <w:rsid w:val="00360C7A"/>
    <w:rsid w:val="00360FDD"/>
    <w:rsid w:val="00362CBB"/>
    <w:rsid w:val="0036369A"/>
    <w:rsid w:val="00363895"/>
    <w:rsid w:val="00365A86"/>
    <w:rsid w:val="00366E11"/>
    <w:rsid w:val="0037035E"/>
    <w:rsid w:val="00370DCF"/>
    <w:rsid w:val="00371E29"/>
    <w:rsid w:val="00371F0C"/>
    <w:rsid w:val="00374AF0"/>
    <w:rsid w:val="00375AE2"/>
    <w:rsid w:val="003765FB"/>
    <w:rsid w:val="00377E6D"/>
    <w:rsid w:val="00382AE2"/>
    <w:rsid w:val="00383F9A"/>
    <w:rsid w:val="003845CA"/>
    <w:rsid w:val="00384686"/>
    <w:rsid w:val="003849C4"/>
    <w:rsid w:val="00386CE7"/>
    <w:rsid w:val="00386EB0"/>
    <w:rsid w:val="00390234"/>
    <w:rsid w:val="00390468"/>
    <w:rsid w:val="003917A0"/>
    <w:rsid w:val="003924D7"/>
    <w:rsid w:val="00393122"/>
    <w:rsid w:val="003933FB"/>
    <w:rsid w:val="0039392D"/>
    <w:rsid w:val="00395117"/>
    <w:rsid w:val="00395F40"/>
    <w:rsid w:val="003969AD"/>
    <w:rsid w:val="00396F6D"/>
    <w:rsid w:val="003971B0"/>
    <w:rsid w:val="003A0C75"/>
    <w:rsid w:val="003A354F"/>
    <w:rsid w:val="003A6DF1"/>
    <w:rsid w:val="003B0BD3"/>
    <w:rsid w:val="003B0DC7"/>
    <w:rsid w:val="003B154A"/>
    <w:rsid w:val="003B1728"/>
    <w:rsid w:val="003B1DC8"/>
    <w:rsid w:val="003B2E4F"/>
    <w:rsid w:val="003B2EF8"/>
    <w:rsid w:val="003B6029"/>
    <w:rsid w:val="003B62DF"/>
    <w:rsid w:val="003B6B95"/>
    <w:rsid w:val="003B762B"/>
    <w:rsid w:val="003C0558"/>
    <w:rsid w:val="003C0A90"/>
    <w:rsid w:val="003C2817"/>
    <w:rsid w:val="003C2FD0"/>
    <w:rsid w:val="003C53C4"/>
    <w:rsid w:val="003C71E0"/>
    <w:rsid w:val="003C74FD"/>
    <w:rsid w:val="003D0F0C"/>
    <w:rsid w:val="003D4118"/>
    <w:rsid w:val="003D7AC9"/>
    <w:rsid w:val="003E2085"/>
    <w:rsid w:val="003E629E"/>
    <w:rsid w:val="003E68A5"/>
    <w:rsid w:val="003E723D"/>
    <w:rsid w:val="003F0E2C"/>
    <w:rsid w:val="003F4005"/>
    <w:rsid w:val="003F47FD"/>
    <w:rsid w:val="003F4CEC"/>
    <w:rsid w:val="003F51D5"/>
    <w:rsid w:val="003F7D26"/>
    <w:rsid w:val="00400498"/>
    <w:rsid w:val="00400939"/>
    <w:rsid w:val="00402774"/>
    <w:rsid w:val="00403D65"/>
    <w:rsid w:val="004051C8"/>
    <w:rsid w:val="00405967"/>
    <w:rsid w:val="00406FDB"/>
    <w:rsid w:val="0040709C"/>
    <w:rsid w:val="004122E7"/>
    <w:rsid w:val="00413795"/>
    <w:rsid w:val="004153B4"/>
    <w:rsid w:val="004155DE"/>
    <w:rsid w:val="00417688"/>
    <w:rsid w:val="0042149B"/>
    <w:rsid w:val="004220E1"/>
    <w:rsid w:val="00422688"/>
    <w:rsid w:val="0042441F"/>
    <w:rsid w:val="00425C66"/>
    <w:rsid w:val="00426C8E"/>
    <w:rsid w:val="00426E95"/>
    <w:rsid w:val="00426F42"/>
    <w:rsid w:val="00433FD9"/>
    <w:rsid w:val="004356C3"/>
    <w:rsid w:val="00435BE5"/>
    <w:rsid w:val="00435FCB"/>
    <w:rsid w:val="00440289"/>
    <w:rsid w:val="00440A7B"/>
    <w:rsid w:val="00441997"/>
    <w:rsid w:val="00442467"/>
    <w:rsid w:val="00443B8E"/>
    <w:rsid w:val="00443EF9"/>
    <w:rsid w:val="00444451"/>
    <w:rsid w:val="00444F6D"/>
    <w:rsid w:val="00452DB0"/>
    <w:rsid w:val="00452DDB"/>
    <w:rsid w:val="00453CC0"/>
    <w:rsid w:val="00453FA6"/>
    <w:rsid w:val="004547C1"/>
    <w:rsid w:val="00454E95"/>
    <w:rsid w:val="004570D8"/>
    <w:rsid w:val="00457591"/>
    <w:rsid w:val="00460543"/>
    <w:rsid w:val="00460D56"/>
    <w:rsid w:val="00461300"/>
    <w:rsid w:val="00461773"/>
    <w:rsid w:val="00462260"/>
    <w:rsid w:val="00462C54"/>
    <w:rsid w:val="00465F99"/>
    <w:rsid w:val="004665D1"/>
    <w:rsid w:val="00467CC3"/>
    <w:rsid w:val="004723B2"/>
    <w:rsid w:val="00473E11"/>
    <w:rsid w:val="00474550"/>
    <w:rsid w:val="00476EC7"/>
    <w:rsid w:val="00477DB9"/>
    <w:rsid w:val="00481D6F"/>
    <w:rsid w:val="00481E81"/>
    <w:rsid w:val="00481FB3"/>
    <w:rsid w:val="0048405E"/>
    <w:rsid w:val="00486430"/>
    <w:rsid w:val="004867C2"/>
    <w:rsid w:val="00486E71"/>
    <w:rsid w:val="00490944"/>
    <w:rsid w:val="00490AFB"/>
    <w:rsid w:val="00491E3C"/>
    <w:rsid w:val="00492DC3"/>
    <w:rsid w:val="00493489"/>
    <w:rsid w:val="004935BA"/>
    <w:rsid w:val="00493997"/>
    <w:rsid w:val="004951AE"/>
    <w:rsid w:val="0049688A"/>
    <w:rsid w:val="004A0B66"/>
    <w:rsid w:val="004A3054"/>
    <w:rsid w:val="004A33AE"/>
    <w:rsid w:val="004A4253"/>
    <w:rsid w:val="004A43C7"/>
    <w:rsid w:val="004A47EE"/>
    <w:rsid w:val="004A4D23"/>
    <w:rsid w:val="004A4F27"/>
    <w:rsid w:val="004A54B1"/>
    <w:rsid w:val="004A6CCE"/>
    <w:rsid w:val="004A7464"/>
    <w:rsid w:val="004B21A7"/>
    <w:rsid w:val="004B3FCD"/>
    <w:rsid w:val="004B5354"/>
    <w:rsid w:val="004B5364"/>
    <w:rsid w:val="004B6119"/>
    <w:rsid w:val="004B6BCD"/>
    <w:rsid w:val="004C2E49"/>
    <w:rsid w:val="004C57E9"/>
    <w:rsid w:val="004D04B4"/>
    <w:rsid w:val="004D1370"/>
    <w:rsid w:val="004D5830"/>
    <w:rsid w:val="004D63BF"/>
    <w:rsid w:val="004D7D07"/>
    <w:rsid w:val="004D7EF1"/>
    <w:rsid w:val="004E0161"/>
    <w:rsid w:val="004E1862"/>
    <w:rsid w:val="004E2729"/>
    <w:rsid w:val="004E27BF"/>
    <w:rsid w:val="004E32B8"/>
    <w:rsid w:val="004E462E"/>
    <w:rsid w:val="004E4F7D"/>
    <w:rsid w:val="004E6C05"/>
    <w:rsid w:val="004F131B"/>
    <w:rsid w:val="004F19C8"/>
    <w:rsid w:val="004F309F"/>
    <w:rsid w:val="004F59F0"/>
    <w:rsid w:val="004F62C5"/>
    <w:rsid w:val="004F657C"/>
    <w:rsid w:val="0050058F"/>
    <w:rsid w:val="0050078A"/>
    <w:rsid w:val="00500B30"/>
    <w:rsid w:val="00501071"/>
    <w:rsid w:val="00501A4F"/>
    <w:rsid w:val="00502385"/>
    <w:rsid w:val="00502ACE"/>
    <w:rsid w:val="005039E9"/>
    <w:rsid w:val="005057E8"/>
    <w:rsid w:val="00506C53"/>
    <w:rsid w:val="00512B6E"/>
    <w:rsid w:val="0051328A"/>
    <w:rsid w:val="00513440"/>
    <w:rsid w:val="00513517"/>
    <w:rsid w:val="0051415D"/>
    <w:rsid w:val="0051641D"/>
    <w:rsid w:val="00523233"/>
    <w:rsid w:val="0052333D"/>
    <w:rsid w:val="00523B5F"/>
    <w:rsid w:val="00524F70"/>
    <w:rsid w:val="005276A4"/>
    <w:rsid w:val="00531EA3"/>
    <w:rsid w:val="0053251E"/>
    <w:rsid w:val="005335F3"/>
    <w:rsid w:val="00534EE7"/>
    <w:rsid w:val="00536BF8"/>
    <w:rsid w:val="0054112C"/>
    <w:rsid w:val="005416E5"/>
    <w:rsid w:val="0054252A"/>
    <w:rsid w:val="005427A7"/>
    <w:rsid w:val="00542952"/>
    <w:rsid w:val="005433C5"/>
    <w:rsid w:val="005444CE"/>
    <w:rsid w:val="005461A8"/>
    <w:rsid w:val="005464A3"/>
    <w:rsid w:val="00553024"/>
    <w:rsid w:val="0055345C"/>
    <w:rsid w:val="00553C30"/>
    <w:rsid w:val="00553EA4"/>
    <w:rsid w:val="00555431"/>
    <w:rsid w:val="005600EF"/>
    <w:rsid w:val="00560B8F"/>
    <w:rsid w:val="00560F7A"/>
    <w:rsid w:val="00561C05"/>
    <w:rsid w:val="00562642"/>
    <w:rsid w:val="00565CF3"/>
    <w:rsid w:val="005700E7"/>
    <w:rsid w:val="00571A00"/>
    <w:rsid w:val="00572060"/>
    <w:rsid w:val="0057237C"/>
    <w:rsid w:val="0057335F"/>
    <w:rsid w:val="00577E89"/>
    <w:rsid w:val="00580F99"/>
    <w:rsid w:val="0058112E"/>
    <w:rsid w:val="005870F7"/>
    <w:rsid w:val="005879AC"/>
    <w:rsid w:val="00590BB5"/>
    <w:rsid w:val="005A0D06"/>
    <w:rsid w:val="005A22B3"/>
    <w:rsid w:val="005A3A6C"/>
    <w:rsid w:val="005A46FB"/>
    <w:rsid w:val="005A65BC"/>
    <w:rsid w:val="005A708C"/>
    <w:rsid w:val="005A757A"/>
    <w:rsid w:val="005A77EA"/>
    <w:rsid w:val="005A78C4"/>
    <w:rsid w:val="005A7980"/>
    <w:rsid w:val="005B1C27"/>
    <w:rsid w:val="005B1EE0"/>
    <w:rsid w:val="005B2ADF"/>
    <w:rsid w:val="005B3128"/>
    <w:rsid w:val="005B3E59"/>
    <w:rsid w:val="005B3FDD"/>
    <w:rsid w:val="005B41F2"/>
    <w:rsid w:val="005B49D3"/>
    <w:rsid w:val="005B52A3"/>
    <w:rsid w:val="005B6506"/>
    <w:rsid w:val="005B6584"/>
    <w:rsid w:val="005B6880"/>
    <w:rsid w:val="005C3462"/>
    <w:rsid w:val="005C427E"/>
    <w:rsid w:val="005C4933"/>
    <w:rsid w:val="005C5859"/>
    <w:rsid w:val="005C5CC9"/>
    <w:rsid w:val="005C7284"/>
    <w:rsid w:val="005C7CDD"/>
    <w:rsid w:val="005C7ECF"/>
    <w:rsid w:val="005D056C"/>
    <w:rsid w:val="005D0919"/>
    <w:rsid w:val="005D1385"/>
    <w:rsid w:val="005D1571"/>
    <w:rsid w:val="005D192E"/>
    <w:rsid w:val="005D3DF4"/>
    <w:rsid w:val="005D6914"/>
    <w:rsid w:val="005E0F14"/>
    <w:rsid w:val="005E23E8"/>
    <w:rsid w:val="005E2439"/>
    <w:rsid w:val="005E30A2"/>
    <w:rsid w:val="005E3EA6"/>
    <w:rsid w:val="005E42A5"/>
    <w:rsid w:val="005E43D7"/>
    <w:rsid w:val="005E7EB1"/>
    <w:rsid w:val="005F24CD"/>
    <w:rsid w:val="005F5B99"/>
    <w:rsid w:val="005F69AD"/>
    <w:rsid w:val="005F6EF6"/>
    <w:rsid w:val="005F723C"/>
    <w:rsid w:val="00603617"/>
    <w:rsid w:val="00606A7A"/>
    <w:rsid w:val="00607970"/>
    <w:rsid w:val="00613EDF"/>
    <w:rsid w:val="006144D6"/>
    <w:rsid w:val="00614FF6"/>
    <w:rsid w:val="00615187"/>
    <w:rsid w:val="006156DE"/>
    <w:rsid w:val="00616BD6"/>
    <w:rsid w:val="00616F62"/>
    <w:rsid w:val="006201C5"/>
    <w:rsid w:val="00620DF7"/>
    <w:rsid w:val="00622E58"/>
    <w:rsid w:val="00623789"/>
    <w:rsid w:val="00623D66"/>
    <w:rsid w:val="006247D1"/>
    <w:rsid w:val="00625A67"/>
    <w:rsid w:val="00625E04"/>
    <w:rsid w:val="00625E50"/>
    <w:rsid w:val="00626C27"/>
    <w:rsid w:val="00626EBE"/>
    <w:rsid w:val="00627BED"/>
    <w:rsid w:val="006316A7"/>
    <w:rsid w:val="00631BC7"/>
    <w:rsid w:val="006336C6"/>
    <w:rsid w:val="00634D3F"/>
    <w:rsid w:val="00640148"/>
    <w:rsid w:val="006445D3"/>
    <w:rsid w:val="00645B94"/>
    <w:rsid w:val="0064606C"/>
    <w:rsid w:val="006508F4"/>
    <w:rsid w:val="006524CC"/>
    <w:rsid w:val="00656259"/>
    <w:rsid w:val="00656A72"/>
    <w:rsid w:val="00657160"/>
    <w:rsid w:val="00657EED"/>
    <w:rsid w:val="00660396"/>
    <w:rsid w:val="006604A5"/>
    <w:rsid w:val="00660B59"/>
    <w:rsid w:val="00661325"/>
    <w:rsid w:val="00665C7E"/>
    <w:rsid w:val="006663C9"/>
    <w:rsid w:val="0067418C"/>
    <w:rsid w:val="00674426"/>
    <w:rsid w:val="006753B0"/>
    <w:rsid w:val="006757C8"/>
    <w:rsid w:val="006762A3"/>
    <w:rsid w:val="00676C6D"/>
    <w:rsid w:val="006775CB"/>
    <w:rsid w:val="00681A73"/>
    <w:rsid w:val="00682763"/>
    <w:rsid w:val="006832A5"/>
    <w:rsid w:val="00687195"/>
    <w:rsid w:val="00691B69"/>
    <w:rsid w:val="00692BD8"/>
    <w:rsid w:val="00693747"/>
    <w:rsid w:val="00694844"/>
    <w:rsid w:val="006965BD"/>
    <w:rsid w:val="00696C8D"/>
    <w:rsid w:val="00697A4E"/>
    <w:rsid w:val="006A019C"/>
    <w:rsid w:val="006A045F"/>
    <w:rsid w:val="006A08C0"/>
    <w:rsid w:val="006A0941"/>
    <w:rsid w:val="006A119F"/>
    <w:rsid w:val="006A1EEE"/>
    <w:rsid w:val="006A2273"/>
    <w:rsid w:val="006A3583"/>
    <w:rsid w:val="006A5D61"/>
    <w:rsid w:val="006A5FC8"/>
    <w:rsid w:val="006A6365"/>
    <w:rsid w:val="006A6622"/>
    <w:rsid w:val="006A77E7"/>
    <w:rsid w:val="006A7B93"/>
    <w:rsid w:val="006B0F27"/>
    <w:rsid w:val="006B1CFC"/>
    <w:rsid w:val="006B2CC0"/>
    <w:rsid w:val="006B2F98"/>
    <w:rsid w:val="006B444C"/>
    <w:rsid w:val="006B4EEC"/>
    <w:rsid w:val="006B6997"/>
    <w:rsid w:val="006C0008"/>
    <w:rsid w:val="006C10AA"/>
    <w:rsid w:val="006C1158"/>
    <w:rsid w:val="006C1256"/>
    <w:rsid w:val="006C38B9"/>
    <w:rsid w:val="006C3C7B"/>
    <w:rsid w:val="006C4873"/>
    <w:rsid w:val="006C4CBD"/>
    <w:rsid w:val="006C5F9E"/>
    <w:rsid w:val="006C7657"/>
    <w:rsid w:val="006C76C7"/>
    <w:rsid w:val="006C79B6"/>
    <w:rsid w:val="006D0657"/>
    <w:rsid w:val="006D20E9"/>
    <w:rsid w:val="006D37A7"/>
    <w:rsid w:val="006D3E6E"/>
    <w:rsid w:val="006D4709"/>
    <w:rsid w:val="006D4C89"/>
    <w:rsid w:val="006D65EB"/>
    <w:rsid w:val="006E34E3"/>
    <w:rsid w:val="006E393F"/>
    <w:rsid w:val="006E4D2F"/>
    <w:rsid w:val="006E6428"/>
    <w:rsid w:val="006E6DA5"/>
    <w:rsid w:val="006E7B57"/>
    <w:rsid w:val="006F0972"/>
    <w:rsid w:val="006F1E2A"/>
    <w:rsid w:val="006F4585"/>
    <w:rsid w:val="006F5261"/>
    <w:rsid w:val="006F67D0"/>
    <w:rsid w:val="006F7C53"/>
    <w:rsid w:val="00701313"/>
    <w:rsid w:val="0070242B"/>
    <w:rsid w:val="00702A3E"/>
    <w:rsid w:val="0070302B"/>
    <w:rsid w:val="007036A4"/>
    <w:rsid w:val="00703DCF"/>
    <w:rsid w:val="00705789"/>
    <w:rsid w:val="007057D0"/>
    <w:rsid w:val="007133E7"/>
    <w:rsid w:val="0071476E"/>
    <w:rsid w:val="007154B9"/>
    <w:rsid w:val="0071553E"/>
    <w:rsid w:val="007224F7"/>
    <w:rsid w:val="00722DB3"/>
    <w:rsid w:val="00723D0D"/>
    <w:rsid w:val="007253B6"/>
    <w:rsid w:val="007300C2"/>
    <w:rsid w:val="00730398"/>
    <w:rsid w:val="0073164C"/>
    <w:rsid w:val="00732167"/>
    <w:rsid w:val="00733C20"/>
    <w:rsid w:val="00734568"/>
    <w:rsid w:val="007356DB"/>
    <w:rsid w:val="007374F9"/>
    <w:rsid w:val="00737C38"/>
    <w:rsid w:val="00740A10"/>
    <w:rsid w:val="007420CD"/>
    <w:rsid w:val="00742B78"/>
    <w:rsid w:val="00742CA9"/>
    <w:rsid w:val="00742E79"/>
    <w:rsid w:val="007438C2"/>
    <w:rsid w:val="007460AC"/>
    <w:rsid w:val="00746220"/>
    <w:rsid w:val="00747DCC"/>
    <w:rsid w:val="00750D97"/>
    <w:rsid w:val="0075116B"/>
    <w:rsid w:val="00751C09"/>
    <w:rsid w:val="00753031"/>
    <w:rsid w:val="00753877"/>
    <w:rsid w:val="00754848"/>
    <w:rsid w:val="0075609D"/>
    <w:rsid w:val="00760449"/>
    <w:rsid w:val="00760E55"/>
    <w:rsid w:val="0076140F"/>
    <w:rsid w:val="0076324D"/>
    <w:rsid w:val="007648D4"/>
    <w:rsid w:val="007650ED"/>
    <w:rsid w:val="0076735D"/>
    <w:rsid w:val="007678CD"/>
    <w:rsid w:val="00770F4E"/>
    <w:rsid w:val="00771822"/>
    <w:rsid w:val="00771A49"/>
    <w:rsid w:val="0077276B"/>
    <w:rsid w:val="00774299"/>
    <w:rsid w:val="00774760"/>
    <w:rsid w:val="00775546"/>
    <w:rsid w:val="00776235"/>
    <w:rsid w:val="00776546"/>
    <w:rsid w:val="00780E71"/>
    <w:rsid w:val="007826F1"/>
    <w:rsid w:val="007832E3"/>
    <w:rsid w:val="007838B8"/>
    <w:rsid w:val="00791BFA"/>
    <w:rsid w:val="00791C6A"/>
    <w:rsid w:val="007922F9"/>
    <w:rsid w:val="00792B61"/>
    <w:rsid w:val="00795641"/>
    <w:rsid w:val="00795E6E"/>
    <w:rsid w:val="007A0E6F"/>
    <w:rsid w:val="007A1718"/>
    <w:rsid w:val="007A1852"/>
    <w:rsid w:val="007A4ED4"/>
    <w:rsid w:val="007A5A09"/>
    <w:rsid w:val="007A643A"/>
    <w:rsid w:val="007A67F6"/>
    <w:rsid w:val="007A6CEF"/>
    <w:rsid w:val="007A74B0"/>
    <w:rsid w:val="007B066F"/>
    <w:rsid w:val="007B2601"/>
    <w:rsid w:val="007B2666"/>
    <w:rsid w:val="007B5D8A"/>
    <w:rsid w:val="007B640F"/>
    <w:rsid w:val="007B6802"/>
    <w:rsid w:val="007B6A46"/>
    <w:rsid w:val="007C00D0"/>
    <w:rsid w:val="007C0376"/>
    <w:rsid w:val="007C049C"/>
    <w:rsid w:val="007C0BF4"/>
    <w:rsid w:val="007C3E95"/>
    <w:rsid w:val="007C74CE"/>
    <w:rsid w:val="007D0510"/>
    <w:rsid w:val="007D1CF2"/>
    <w:rsid w:val="007D1FE9"/>
    <w:rsid w:val="007D25AC"/>
    <w:rsid w:val="007D346B"/>
    <w:rsid w:val="007D54C7"/>
    <w:rsid w:val="007D61F3"/>
    <w:rsid w:val="007E0893"/>
    <w:rsid w:val="007E0BD1"/>
    <w:rsid w:val="007E0FA0"/>
    <w:rsid w:val="007E216D"/>
    <w:rsid w:val="007E22FD"/>
    <w:rsid w:val="007E45D6"/>
    <w:rsid w:val="007E4AF8"/>
    <w:rsid w:val="007E55BF"/>
    <w:rsid w:val="007E623C"/>
    <w:rsid w:val="007F2158"/>
    <w:rsid w:val="007F2E17"/>
    <w:rsid w:val="007F333F"/>
    <w:rsid w:val="007F40B6"/>
    <w:rsid w:val="007F4C64"/>
    <w:rsid w:val="007F5635"/>
    <w:rsid w:val="007F696B"/>
    <w:rsid w:val="007F6EE6"/>
    <w:rsid w:val="00800D9F"/>
    <w:rsid w:val="00803C61"/>
    <w:rsid w:val="00805F3D"/>
    <w:rsid w:val="0080691C"/>
    <w:rsid w:val="00806D98"/>
    <w:rsid w:val="00806F89"/>
    <w:rsid w:val="00815DC2"/>
    <w:rsid w:val="00816EB6"/>
    <w:rsid w:val="00820A4A"/>
    <w:rsid w:val="00822316"/>
    <w:rsid w:val="00824A28"/>
    <w:rsid w:val="00824BE9"/>
    <w:rsid w:val="0082511B"/>
    <w:rsid w:val="00826F1F"/>
    <w:rsid w:val="0082789E"/>
    <w:rsid w:val="008301E1"/>
    <w:rsid w:val="00831763"/>
    <w:rsid w:val="00833C71"/>
    <w:rsid w:val="008347A8"/>
    <w:rsid w:val="0083511D"/>
    <w:rsid w:val="00835DED"/>
    <w:rsid w:val="00837E89"/>
    <w:rsid w:val="00840860"/>
    <w:rsid w:val="008420F7"/>
    <w:rsid w:val="008422C5"/>
    <w:rsid w:val="00842639"/>
    <w:rsid w:val="008470C8"/>
    <w:rsid w:val="008470E5"/>
    <w:rsid w:val="00847988"/>
    <w:rsid w:val="00850AB9"/>
    <w:rsid w:val="00850CE7"/>
    <w:rsid w:val="00850DCB"/>
    <w:rsid w:val="00851074"/>
    <w:rsid w:val="008510CB"/>
    <w:rsid w:val="0085222C"/>
    <w:rsid w:val="008539CF"/>
    <w:rsid w:val="008542EF"/>
    <w:rsid w:val="0085461D"/>
    <w:rsid w:val="00854E49"/>
    <w:rsid w:val="00856E62"/>
    <w:rsid w:val="008577BE"/>
    <w:rsid w:val="0086043B"/>
    <w:rsid w:val="008607BE"/>
    <w:rsid w:val="00863E11"/>
    <w:rsid w:val="00864B09"/>
    <w:rsid w:val="00866807"/>
    <w:rsid w:val="00866C6D"/>
    <w:rsid w:val="00866D72"/>
    <w:rsid w:val="00866EEB"/>
    <w:rsid w:val="008676F8"/>
    <w:rsid w:val="008677B5"/>
    <w:rsid w:val="00871618"/>
    <w:rsid w:val="008716F1"/>
    <w:rsid w:val="0087638D"/>
    <w:rsid w:val="00877598"/>
    <w:rsid w:val="00880CDE"/>
    <w:rsid w:val="00882054"/>
    <w:rsid w:val="0088379A"/>
    <w:rsid w:val="00884F40"/>
    <w:rsid w:val="00885698"/>
    <w:rsid w:val="00885C94"/>
    <w:rsid w:val="00886ACC"/>
    <w:rsid w:val="00886D5F"/>
    <w:rsid w:val="0089288E"/>
    <w:rsid w:val="0089325C"/>
    <w:rsid w:val="0089348F"/>
    <w:rsid w:val="00896CA2"/>
    <w:rsid w:val="00896DCF"/>
    <w:rsid w:val="008A0B36"/>
    <w:rsid w:val="008A294E"/>
    <w:rsid w:val="008A3156"/>
    <w:rsid w:val="008A3863"/>
    <w:rsid w:val="008A5C14"/>
    <w:rsid w:val="008A7471"/>
    <w:rsid w:val="008A7E8B"/>
    <w:rsid w:val="008B03CB"/>
    <w:rsid w:val="008B0AA8"/>
    <w:rsid w:val="008B5555"/>
    <w:rsid w:val="008B5594"/>
    <w:rsid w:val="008B5B38"/>
    <w:rsid w:val="008B6852"/>
    <w:rsid w:val="008B6CAA"/>
    <w:rsid w:val="008B6FFE"/>
    <w:rsid w:val="008C0C14"/>
    <w:rsid w:val="008C2404"/>
    <w:rsid w:val="008C2648"/>
    <w:rsid w:val="008C3626"/>
    <w:rsid w:val="008C3BC0"/>
    <w:rsid w:val="008C79BE"/>
    <w:rsid w:val="008D12AF"/>
    <w:rsid w:val="008D15C0"/>
    <w:rsid w:val="008D1B20"/>
    <w:rsid w:val="008D2291"/>
    <w:rsid w:val="008D230F"/>
    <w:rsid w:val="008D2466"/>
    <w:rsid w:val="008D2D61"/>
    <w:rsid w:val="008D3756"/>
    <w:rsid w:val="008D4265"/>
    <w:rsid w:val="008D4394"/>
    <w:rsid w:val="008D5170"/>
    <w:rsid w:val="008D52F9"/>
    <w:rsid w:val="008D5BD8"/>
    <w:rsid w:val="008D77FC"/>
    <w:rsid w:val="008D78F1"/>
    <w:rsid w:val="008E042A"/>
    <w:rsid w:val="008E11A2"/>
    <w:rsid w:val="008E2057"/>
    <w:rsid w:val="008E2FDF"/>
    <w:rsid w:val="008E46B4"/>
    <w:rsid w:val="008E69BE"/>
    <w:rsid w:val="008F1589"/>
    <w:rsid w:val="008F2474"/>
    <w:rsid w:val="008F4B86"/>
    <w:rsid w:val="008F5DE4"/>
    <w:rsid w:val="008F74F5"/>
    <w:rsid w:val="0090225D"/>
    <w:rsid w:val="00903100"/>
    <w:rsid w:val="009039F7"/>
    <w:rsid w:val="00903E7A"/>
    <w:rsid w:val="00904855"/>
    <w:rsid w:val="00905075"/>
    <w:rsid w:val="00905C8D"/>
    <w:rsid w:val="00912760"/>
    <w:rsid w:val="00916F14"/>
    <w:rsid w:val="00920802"/>
    <w:rsid w:val="00921D84"/>
    <w:rsid w:val="0092450B"/>
    <w:rsid w:val="00925186"/>
    <w:rsid w:val="00925738"/>
    <w:rsid w:val="00926AD2"/>
    <w:rsid w:val="009303B7"/>
    <w:rsid w:val="00931338"/>
    <w:rsid w:val="00932AF6"/>
    <w:rsid w:val="009335D3"/>
    <w:rsid w:val="00937BD1"/>
    <w:rsid w:val="0094002B"/>
    <w:rsid w:val="009404AE"/>
    <w:rsid w:val="00941340"/>
    <w:rsid w:val="0094164F"/>
    <w:rsid w:val="00941B02"/>
    <w:rsid w:val="00941CD1"/>
    <w:rsid w:val="00942310"/>
    <w:rsid w:val="009440E1"/>
    <w:rsid w:val="0094572A"/>
    <w:rsid w:val="00945E28"/>
    <w:rsid w:val="00946F7C"/>
    <w:rsid w:val="0094735D"/>
    <w:rsid w:val="00951A4A"/>
    <w:rsid w:val="0095361D"/>
    <w:rsid w:val="0095435C"/>
    <w:rsid w:val="009570E2"/>
    <w:rsid w:val="00957143"/>
    <w:rsid w:val="00961753"/>
    <w:rsid w:val="00962FB7"/>
    <w:rsid w:val="0096321C"/>
    <w:rsid w:val="009640EF"/>
    <w:rsid w:val="00964B2B"/>
    <w:rsid w:val="00964BC6"/>
    <w:rsid w:val="009656BE"/>
    <w:rsid w:val="009656D7"/>
    <w:rsid w:val="00965A9B"/>
    <w:rsid w:val="00966180"/>
    <w:rsid w:val="00966248"/>
    <w:rsid w:val="0096637C"/>
    <w:rsid w:val="00967514"/>
    <w:rsid w:val="0096773F"/>
    <w:rsid w:val="00967DC7"/>
    <w:rsid w:val="00971218"/>
    <w:rsid w:val="00973C16"/>
    <w:rsid w:val="0097402A"/>
    <w:rsid w:val="00974602"/>
    <w:rsid w:val="00974801"/>
    <w:rsid w:val="00975C1E"/>
    <w:rsid w:val="009763D4"/>
    <w:rsid w:val="00976440"/>
    <w:rsid w:val="00977FFD"/>
    <w:rsid w:val="00980F7E"/>
    <w:rsid w:val="00980FBF"/>
    <w:rsid w:val="00981C4E"/>
    <w:rsid w:val="009856BD"/>
    <w:rsid w:val="0098588C"/>
    <w:rsid w:val="009875B5"/>
    <w:rsid w:val="00987801"/>
    <w:rsid w:val="009909C5"/>
    <w:rsid w:val="00991C73"/>
    <w:rsid w:val="00992162"/>
    <w:rsid w:val="009935B0"/>
    <w:rsid w:val="00994105"/>
    <w:rsid w:val="00994171"/>
    <w:rsid w:val="009954CB"/>
    <w:rsid w:val="00996B3F"/>
    <w:rsid w:val="00997B27"/>
    <w:rsid w:val="009A1CF0"/>
    <w:rsid w:val="009A3EF1"/>
    <w:rsid w:val="009A6D13"/>
    <w:rsid w:val="009A72CB"/>
    <w:rsid w:val="009A7877"/>
    <w:rsid w:val="009B2D22"/>
    <w:rsid w:val="009B365E"/>
    <w:rsid w:val="009B38D8"/>
    <w:rsid w:val="009B49EE"/>
    <w:rsid w:val="009B5407"/>
    <w:rsid w:val="009B5A65"/>
    <w:rsid w:val="009B61DC"/>
    <w:rsid w:val="009C003A"/>
    <w:rsid w:val="009C08D1"/>
    <w:rsid w:val="009C11AC"/>
    <w:rsid w:val="009C1F64"/>
    <w:rsid w:val="009C2399"/>
    <w:rsid w:val="009C3CC9"/>
    <w:rsid w:val="009C544C"/>
    <w:rsid w:val="009C60BA"/>
    <w:rsid w:val="009C6709"/>
    <w:rsid w:val="009C6D37"/>
    <w:rsid w:val="009C6E92"/>
    <w:rsid w:val="009D03C8"/>
    <w:rsid w:val="009D0638"/>
    <w:rsid w:val="009D261A"/>
    <w:rsid w:val="009D2C89"/>
    <w:rsid w:val="009D3BF1"/>
    <w:rsid w:val="009D3C85"/>
    <w:rsid w:val="009D4049"/>
    <w:rsid w:val="009D4071"/>
    <w:rsid w:val="009D5D1D"/>
    <w:rsid w:val="009D6855"/>
    <w:rsid w:val="009D6D80"/>
    <w:rsid w:val="009E0D7C"/>
    <w:rsid w:val="009E347B"/>
    <w:rsid w:val="009E5117"/>
    <w:rsid w:val="009E56DA"/>
    <w:rsid w:val="009E5738"/>
    <w:rsid w:val="009E59E6"/>
    <w:rsid w:val="009E6083"/>
    <w:rsid w:val="009F1BD3"/>
    <w:rsid w:val="009F25A9"/>
    <w:rsid w:val="009F3947"/>
    <w:rsid w:val="009F42D2"/>
    <w:rsid w:val="009F6B5C"/>
    <w:rsid w:val="00A00220"/>
    <w:rsid w:val="00A0070E"/>
    <w:rsid w:val="00A00A31"/>
    <w:rsid w:val="00A0531A"/>
    <w:rsid w:val="00A057E7"/>
    <w:rsid w:val="00A05AA8"/>
    <w:rsid w:val="00A06CD3"/>
    <w:rsid w:val="00A06D05"/>
    <w:rsid w:val="00A0705F"/>
    <w:rsid w:val="00A079D1"/>
    <w:rsid w:val="00A07F00"/>
    <w:rsid w:val="00A10B0B"/>
    <w:rsid w:val="00A11621"/>
    <w:rsid w:val="00A11B08"/>
    <w:rsid w:val="00A14427"/>
    <w:rsid w:val="00A151B7"/>
    <w:rsid w:val="00A177D9"/>
    <w:rsid w:val="00A20CB4"/>
    <w:rsid w:val="00A22894"/>
    <w:rsid w:val="00A23E3D"/>
    <w:rsid w:val="00A2406E"/>
    <w:rsid w:val="00A26141"/>
    <w:rsid w:val="00A26B1E"/>
    <w:rsid w:val="00A274F0"/>
    <w:rsid w:val="00A30990"/>
    <w:rsid w:val="00A30D6E"/>
    <w:rsid w:val="00A3162D"/>
    <w:rsid w:val="00A31DBB"/>
    <w:rsid w:val="00A3238E"/>
    <w:rsid w:val="00A3357A"/>
    <w:rsid w:val="00A33761"/>
    <w:rsid w:val="00A34301"/>
    <w:rsid w:val="00A34E0C"/>
    <w:rsid w:val="00A35498"/>
    <w:rsid w:val="00A3655F"/>
    <w:rsid w:val="00A36737"/>
    <w:rsid w:val="00A37BC4"/>
    <w:rsid w:val="00A40949"/>
    <w:rsid w:val="00A42904"/>
    <w:rsid w:val="00A4479E"/>
    <w:rsid w:val="00A45848"/>
    <w:rsid w:val="00A46A91"/>
    <w:rsid w:val="00A46DC3"/>
    <w:rsid w:val="00A46EAF"/>
    <w:rsid w:val="00A53134"/>
    <w:rsid w:val="00A5319D"/>
    <w:rsid w:val="00A53D7E"/>
    <w:rsid w:val="00A54666"/>
    <w:rsid w:val="00A55314"/>
    <w:rsid w:val="00A5538B"/>
    <w:rsid w:val="00A5608C"/>
    <w:rsid w:val="00A57BFC"/>
    <w:rsid w:val="00A60220"/>
    <w:rsid w:val="00A6063A"/>
    <w:rsid w:val="00A61116"/>
    <w:rsid w:val="00A6170F"/>
    <w:rsid w:val="00A62451"/>
    <w:rsid w:val="00A636C5"/>
    <w:rsid w:val="00A63DF7"/>
    <w:rsid w:val="00A6566D"/>
    <w:rsid w:val="00A657AE"/>
    <w:rsid w:val="00A67040"/>
    <w:rsid w:val="00A673B9"/>
    <w:rsid w:val="00A73E20"/>
    <w:rsid w:val="00A769E6"/>
    <w:rsid w:val="00A80635"/>
    <w:rsid w:val="00A81041"/>
    <w:rsid w:val="00A811B1"/>
    <w:rsid w:val="00A8294A"/>
    <w:rsid w:val="00A82EE0"/>
    <w:rsid w:val="00A84959"/>
    <w:rsid w:val="00A8495D"/>
    <w:rsid w:val="00A85899"/>
    <w:rsid w:val="00A86C80"/>
    <w:rsid w:val="00A86FAD"/>
    <w:rsid w:val="00A904B3"/>
    <w:rsid w:val="00A9131C"/>
    <w:rsid w:val="00A93708"/>
    <w:rsid w:val="00A939A9"/>
    <w:rsid w:val="00A93F8A"/>
    <w:rsid w:val="00A9522C"/>
    <w:rsid w:val="00A95D7C"/>
    <w:rsid w:val="00A96262"/>
    <w:rsid w:val="00AA0379"/>
    <w:rsid w:val="00AA2424"/>
    <w:rsid w:val="00AA2B1F"/>
    <w:rsid w:val="00AA2B7F"/>
    <w:rsid w:val="00AA3425"/>
    <w:rsid w:val="00AA3C8D"/>
    <w:rsid w:val="00AA5FA9"/>
    <w:rsid w:val="00AA695E"/>
    <w:rsid w:val="00AA7FB4"/>
    <w:rsid w:val="00AB1DF9"/>
    <w:rsid w:val="00AB297D"/>
    <w:rsid w:val="00AB37B3"/>
    <w:rsid w:val="00AB4A6F"/>
    <w:rsid w:val="00AB516C"/>
    <w:rsid w:val="00AB618F"/>
    <w:rsid w:val="00AB7696"/>
    <w:rsid w:val="00AC0855"/>
    <w:rsid w:val="00AC08AD"/>
    <w:rsid w:val="00AC0C8B"/>
    <w:rsid w:val="00AC5387"/>
    <w:rsid w:val="00AC5AC2"/>
    <w:rsid w:val="00AC5CCF"/>
    <w:rsid w:val="00AD31E8"/>
    <w:rsid w:val="00AD4194"/>
    <w:rsid w:val="00AD45BF"/>
    <w:rsid w:val="00AD6736"/>
    <w:rsid w:val="00AD7447"/>
    <w:rsid w:val="00AD78EB"/>
    <w:rsid w:val="00AE1C3D"/>
    <w:rsid w:val="00AE2E7E"/>
    <w:rsid w:val="00AE36C5"/>
    <w:rsid w:val="00AE526F"/>
    <w:rsid w:val="00AE600C"/>
    <w:rsid w:val="00AF18DA"/>
    <w:rsid w:val="00AF1DE6"/>
    <w:rsid w:val="00AF2934"/>
    <w:rsid w:val="00AF45C2"/>
    <w:rsid w:val="00AF4EE4"/>
    <w:rsid w:val="00AF6B56"/>
    <w:rsid w:val="00B01854"/>
    <w:rsid w:val="00B02243"/>
    <w:rsid w:val="00B03224"/>
    <w:rsid w:val="00B0500A"/>
    <w:rsid w:val="00B05ACF"/>
    <w:rsid w:val="00B0605F"/>
    <w:rsid w:val="00B061F7"/>
    <w:rsid w:val="00B067B4"/>
    <w:rsid w:val="00B0725E"/>
    <w:rsid w:val="00B077C3"/>
    <w:rsid w:val="00B07A9F"/>
    <w:rsid w:val="00B1062E"/>
    <w:rsid w:val="00B10686"/>
    <w:rsid w:val="00B10B04"/>
    <w:rsid w:val="00B11305"/>
    <w:rsid w:val="00B11721"/>
    <w:rsid w:val="00B11FDA"/>
    <w:rsid w:val="00B13846"/>
    <w:rsid w:val="00B14666"/>
    <w:rsid w:val="00B16383"/>
    <w:rsid w:val="00B179EE"/>
    <w:rsid w:val="00B20886"/>
    <w:rsid w:val="00B21889"/>
    <w:rsid w:val="00B22546"/>
    <w:rsid w:val="00B22FDC"/>
    <w:rsid w:val="00B23697"/>
    <w:rsid w:val="00B2377C"/>
    <w:rsid w:val="00B24AA3"/>
    <w:rsid w:val="00B24F28"/>
    <w:rsid w:val="00B254EC"/>
    <w:rsid w:val="00B26C24"/>
    <w:rsid w:val="00B27091"/>
    <w:rsid w:val="00B27EB6"/>
    <w:rsid w:val="00B30814"/>
    <w:rsid w:val="00B30CFA"/>
    <w:rsid w:val="00B30F51"/>
    <w:rsid w:val="00B31A40"/>
    <w:rsid w:val="00B31D94"/>
    <w:rsid w:val="00B32524"/>
    <w:rsid w:val="00B34FE4"/>
    <w:rsid w:val="00B37638"/>
    <w:rsid w:val="00B40B4A"/>
    <w:rsid w:val="00B429CA"/>
    <w:rsid w:val="00B42A12"/>
    <w:rsid w:val="00B42EDE"/>
    <w:rsid w:val="00B435EC"/>
    <w:rsid w:val="00B45683"/>
    <w:rsid w:val="00B4596F"/>
    <w:rsid w:val="00B45C07"/>
    <w:rsid w:val="00B45C6F"/>
    <w:rsid w:val="00B51543"/>
    <w:rsid w:val="00B5168E"/>
    <w:rsid w:val="00B52B3F"/>
    <w:rsid w:val="00B547C1"/>
    <w:rsid w:val="00B55111"/>
    <w:rsid w:val="00B5642F"/>
    <w:rsid w:val="00B564C1"/>
    <w:rsid w:val="00B56C33"/>
    <w:rsid w:val="00B5796A"/>
    <w:rsid w:val="00B6102B"/>
    <w:rsid w:val="00B613DE"/>
    <w:rsid w:val="00B61746"/>
    <w:rsid w:val="00B62D57"/>
    <w:rsid w:val="00B63428"/>
    <w:rsid w:val="00B6371A"/>
    <w:rsid w:val="00B64C70"/>
    <w:rsid w:val="00B66B09"/>
    <w:rsid w:val="00B70090"/>
    <w:rsid w:val="00B70E81"/>
    <w:rsid w:val="00B7188F"/>
    <w:rsid w:val="00B719A0"/>
    <w:rsid w:val="00B745CF"/>
    <w:rsid w:val="00B75B94"/>
    <w:rsid w:val="00B85A1C"/>
    <w:rsid w:val="00B85D32"/>
    <w:rsid w:val="00B86278"/>
    <w:rsid w:val="00B86765"/>
    <w:rsid w:val="00B8766D"/>
    <w:rsid w:val="00B87759"/>
    <w:rsid w:val="00B90695"/>
    <w:rsid w:val="00B923EE"/>
    <w:rsid w:val="00B93B1D"/>
    <w:rsid w:val="00B94FA9"/>
    <w:rsid w:val="00B957C1"/>
    <w:rsid w:val="00B96651"/>
    <w:rsid w:val="00BA0AD4"/>
    <w:rsid w:val="00BA150E"/>
    <w:rsid w:val="00BA287B"/>
    <w:rsid w:val="00BA6224"/>
    <w:rsid w:val="00BA6EF2"/>
    <w:rsid w:val="00BA784F"/>
    <w:rsid w:val="00BB2931"/>
    <w:rsid w:val="00BB4A6C"/>
    <w:rsid w:val="00BB65D5"/>
    <w:rsid w:val="00BB7CBC"/>
    <w:rsid w:val="00BC069A"/>
    <w:rsid w:val="00BC130B"/>
    <w:rsid w:val="00BC1939"/>
    <w:rsid w:val="00BC1FA3"/>
    <w:rsid w:val="00BC3367"/>
    <w:rsid w:val="00BC3A88"/>
    <w:rsid w:val="00BC3BEA"/>
    <w:rsid w:val="00BC562F"/>
    <w:rsid w:val="00BC62CC"/>
    <w:rsid w:val="00BC6B9E"/>
    <w:rsid w:val="00BC7A28"/>
    <w:rsid w:val="00BD06C5"/>
    <w:rsid w:val="00BD1CD4"/>
    <w:rsid w:val="00BD1D1C"/>
    <w:rsid w:val="00BD2761"/>
    <w:rsid w:val="00BD3059"/>
    <w:rsid w:val="00BD3236"/>
    <w:rsid w:val="00BD3ABB"/>
    <w:rsid w:val="00BD3F13"/>
    <w:rsid w:val="00BD46E6"/>
    <w:rsid w:val="00BD4DED"/>
    <w:rsid w:val="00BD677D"/>
    <w:rsid w:val="00BE0E0C"/>
    <w:rsid w:val="00BE18AB"/>
    <w:rsid w:val="00BE281C"/>
    <w:rsid w:val="00BE34A0"/>
    <w:rsid w:val="00BE5B12"/>
    <w:rsid w:val="00BE7234"/>
    <w:rsid w:val="00BF1962"/>
    <w:rsid w:val="00BF1F73"/>
    <w:rsid w:val="00BF367D"/>
    <w:rsid w:val="00BF3904"/>
    <w:rsid w:val="00BF39E7"/>
    <w:rsid w:val="00BF5305"/>
    <w:rsid w:val="00BF5812"/>
    <w:rsid w:val="00BF7468"/>
    <w:rsid w:val="00C00402"/>
    <w:rsid w:val="00C00E42"/>
    <w:rsid w:val="00C01352"/>
    <w:rsid w:val="00C013A9"/>
    <w:rsid w:val="00C02C93"/>
    <w:rsid w:val="00C0353B"/>
    <w:rsid w:val="00C03651"/>
    <w:rsid w:val="00C06545"/>
    <w:rsid w:val="00C12842"/>
    <w:rsid w:val="00C16561"/>
    <w:rsid w:val="00C16C97"/>
    <w:rsid w:val="00C205C2"/>
    <w:rsid w:val="00C21694"/>
    <w:rsid w:val="00C218FD"/>
    <w:rsid w:val="00C22187"/>
    <w:rsid w:val="00C2428D"/>
    <w:rsid w:val="00C25C57"/>
    <w:rsid w:val="00C27A1C"/>
    <w:rsid w:val="00C27AF4"/>
    <w:rsid w:val="00C3066E"/>
    <w:rsid w:val="00C32241"/>
    <w:rsid w:val="00C32B8E"/>
    <w:rsid w:val="00C33058"/>
    <w:rsid w:val="00C33D2E"/>
    <w:rsid w:val="00C34245"/>
    <w:rsid w:val="00C34481"/>
    <w:rsid w:val="00C350DA"/>
    <w:rsid w:val="00C35FA1"/>
    <w:rsid w:val="00C361D9"/>
    <w:rsid w:val="00C364AB"/>
    <w:rsid w:val="00C40029"/>
    <w:rsid w:val="00C406BF"/>
    <w:rsid w:val="00C417C3"/>
    <w:rsid w:val="00C41994"/>
    <w:rsid w:val="00C41D64"/>
    <w:rsid w:val="00C42A63"/>
    <w:rsid w:val="00C42F3D"/>
    <w:rsid w:val="00C43109"/>
    <w:rsid w:val="00C43995"/>
    <w:rsid w:val="00C43FB2"/>
    <w:rsid w:val="00C447BD"/>
    <w:rsid w:val="00C44866"/>
    <w:rsid w:val="00C453F6"/>
    <w:rsid w:val="00C45C99"/>
    <w:rsid w:val="00C46B60"/>
    <w:rsid w:val="00C50F29"/>
    <w:rsid w:val="00C521A6"/>
    <w:rsid w:val="00C5241F"/>
    <w:rsid w:val="00C55E18"/>
    <w:rsid w:val="00C56EE5"/>
    <w:rsid w:val="00C61003"/>
    <w:rsid w:val="00C614E8"/>
    <w:rsid w:val="00C616FE"/>
    <w:rsid w:val="00C62EF3"/>
    <w:rsid w:val="00C63245"/>
    <w:rsid w:val="00C64963"/>
    <w:rsid w:val="00C65546"/>
    <w:rsid w:val="00C65900"/>
    <w:rsid w:val="00C66322"/>
    <w:rsid w:val="00C663CA"/>
    <w:rsid w:val="00C66F71"/>
    <w:rsid w:val="00C67544"/>
    <w:rsid w:val="00C67576"/>
    <w:rsid w:val="00C67C77"/>
    <w:rsid w:val="00C70EC3"/>
    <w:rsid w:val="00C71959"/>
    <w:rsid w:val="00C73D83"/>
    <w:rsid w:val="00C755B1"/>
    <w:rsid w:val="00C758A9"/>
    <w:rsid w:val="00C76ED2"/>
    <w:rsid w:val="00C7737C"/>
    <w:rsid w:val="00C82810"/>
    <w:rsid w:val="00C82F7A"/>
    <w:rsid w:val="00C8576B"/>
    <w:rsid w:val="00C87371"/>
    <w:rsid w:val="00C8737B"/>
    <w:rsid w:val="00C90AAA"/>
    <w:rsid w:val="00C92105"/>
    <w:rsid w:val="00C92E94"/>
    <w:rsid w:val="00C931B1"/>
    <w:rsid w:val="00C935DA"/>
    <w:rsid w:val="00C96169"/>
    <w:rsid w:val="00C961FB"/>
    <w:rsid w:val="00C96764"/>
    <w:rsid w:val="00C9757B"/>
    <w:rsid w:val="00C97F39"/>
    <w:rsid w:val="00CA06AB"/>
    <w:rsid w:val="00CA12B6"/>
    <w:rsid w:val="00CA1CBF"/>
    <w:rsid w:val="00CA1D39"/>
    <w:rsid w:val="00CA5E82"/>
    <w:rsid w:val="00CA6F4B"/>
    <w:rsid w:val="00CB0554"/>
    <w:rsid w:val="00CB154E"/>
    <w:rsid w:val="00CB2269"/>
    <w:rsid w:val="00CB3B50"/>
    <w:rsid w:val="00CB620E"/>
    <w:rsid w:val="00CB74E9"/>
    <w:rsid w:val="00CC131E"/>
    <w:rsid w:val="00CC1F04"/>
    <w:rsid w:val="00CC7986"/>
    <w:rsid w:val="00CC79A5"/>
    <w:rsid w:val="00CD0180"/>
    <w:rsid w:val="00CD03E6"/>
    <w:rsid w:val="00CD0AD2"/>
    <w:rsid w:val="00CD0F0B"/>
    <w:rsid w:val="00CD158A"/>
    <w:rsid w:val="00CD1AA2"/>
    <w:rsid w:val="00CD219E"/>
    <w:rsid w:val="00CD3855"/>
    <w:rsid w:val="00CD4F18"/>
    <w:rsid w:val="00CD5E68"/>
    <w:rsid w:val="00CE06AC"/>
    <w:rsid w:val="00CE1BD8"/>
    <w:rsid w:val="00CE20FF"/>
    <w:rsid w:val="00CE213B"/>
    <w:rsid w:val="00CE4278"/>
    <w:rsid w:val="00CE7050"/>
    <w:rsid w:val="00CE735F"/>
    <w:rsid w:val="00CE7649"/>
    <w:rsid w:val="00CE7885"/>
    <w:rsid w:val="00CF047F"/>
    <w:rsid w:val="00CF14D5"/>
    <w:rsid w:val="00CF2242"/>
    <w:rsid w:val="00CF37F0"/>
    <w:rsid w:val="00CF6FAD"/>
    <w:rsid w:val="00D007C6"/>
    <w:rsid w:val="00D01A47"/>
    <w:rsid w:val="00D03270"/>
    <w:rsid w:val="00D04D84"/>
    <w:rsid w:val="00D065E2"/>
    <w:rsid w:val="00D068FF"/>
    <w:rsid w:val="00D070E6"/>
    <w:rsid w:val="00D127DF"/>
    <w:rsid w:val="00D12F9B"/>
    <w:rsid w:val="00D139D6"/>
    <w:rsid w:val="00D13D19"/>
    <w:rsid w:val="00D14A4A"/>
    <w:rsid w:val="00D14B52"/>
    <w:rsid w:val="00D1613B"/>
    <w:rsid w:val="00D16344"/>
    <w:rsid w:val="00D17C72"/>
    <w:rsid w:val="00D203EA"/>
    <w:rsid w:val="00D22761"/>
    <w:rsid w:val="00D2291C"/>
    <w:rsid w:val="00D22B5B"/>
    <w:rsid w:val="00D236F4"/>
    <w:rsid w:val="00D23E34"/>
    <w:rsid w:val="00D30825"/>
    <w:rsid w:val="00D30D27"/>
    <w:rsid w:val="00D3149D"/>
    <w:rsid w:val="00D32594"/>
    <w:rsid w:val="00D331A5"/>
    <w:rsid w:val="00D33335"/>
    <w:rsid w:val="00D348CE"/>
    <w:rsid w:val="00D35288"/>
    <w:rsid w:val="00D352F2"/>
    <w:rsid w:val="00D35785"/>
    <w:rsid w:val="00D40A38"/>
    <w:rsid w:val="00D40CD8"/>
    <w:rsid w:val="00D414EB"/>
    <w:rsid w:val="00D42335"/>
    <w:rsid w:val="00D442E5"/>
    <w:rsid w:val="00D44BDD"/>
    <w:rsid w:val="00D453E4"/>
    <w:rsid w:val="00D45F34"/>
    <w:rsid w:val="00D50738"/>
    <w:rsid w:val="00D517B3"/>
    <w:rsid w:val="00D52413"/>
    <w:rsid w:val="00D52FF6"/>
    <w:rsid w:val="00D532B6"/>
    <w:rsid w:val="00D533FE"/>
    <w:rsid w:val="00D5357B"/>
    <w:rsid w:val="00D53CE8"/>
    <w:rsid w:val="00D558D1"/>
    <w:rsid w:val="00D563F4"/>
    <w:rsid w:val="00D57101"/>
    <w:rsid w:val="00D606B6"/>
    <w:rsid w:val="00D63A42"/>
    <w:rsid w:val="00D6427B"/>
    <w:rsid w:val="00D6559D"/>
    <w:rsid w:val="00D65BA5"/>
    <w:rsid w:val="00D66297"/>
    <w:rsid w:val="00D67AA3"/>
    <w:rsid w:val="00D70449"/>
    <w:rsid w:val="00D70A23"/>
    <w:rsid w:val="00D71044"/>
    <w:rsid w:val="00D710BE"/>
    <w:rsid w:val="00D71D31"/>
    <w:rsid w:val="00D7360C"/>
    <w:rsid w:val="00D74642"/>
    <w:rsid w:val="00D75210"/>
    <w:rsid w:val="00D759A1"/>
    <w:rsid w:val="00D7656A"/>
    <w:rsid w:val="00D76B76"/>
    <w:rsid w:val="00D80BB1"/>
    <w:rsid w:val="00D814A4"/>
    <w:rsid w:val="00D81A0A"/>
    <w:rsid w:val="00D81BBF"/>
    <w:rsid w:val="00D82037"/>
    <w:rsid w:val="00D84A52"/>
    <w:rsid w:val="00D84CAA"/>
    <w:rsid w:val="00D84D6C"/>
    <w:rsid w:val="00D866E5"/>
    <w:rsid w:val="00D868AE"/>
    <w:rsid w:val="00D86AD4"/>
    <w:rsid w:val="00D87432"/>
    <w:rsid w:val="00D876AB"/>
    <w:rsid w:val="00D900D5"/>
    <w:rsid w:val="00D906E9"/>
    <w:rsid w:val="00D91004"/>
    <w:rsid w:val="00D916DC"/>
    <w:rsid w:val="00D91CF4"/>
    <w:rsid w:val="00D91EE5"/>
    <w:rsid w:val="00D92D0C"/>
    <w:rsid w:val="00D934F3"/>
    <w:rsid w:val="00D939A9"/>
    <w:rsid w:val="00D94D96"/>
    <w:rsid w:val="00D95722"/>
    <w:rsid w:val="00D97F24"/>
    <w:rsid w:val="00DA0A40"/>
    <w:rsid w:val="00DA4F61"/>
    <w:rsid w:val="00DA63A9"/>
    <w:rsid w:val="00DA6491"/>
    <w:rsid w:val="00DB0749"/>
    <w:rsid w:val="00DB0993"/>
    <w:rsid w:val="00DB31C3"/>
    <w:rsid w:val="00DB343E"/>
    <w:rsid w:val="00DB441C"/>
    <w:rsid w:val="00DB7995"/>
    <w:rsid w:val="00DC27FF"/>
    <w:rsid w:val="00DC286B"/>
    <w:rsid w:val="00DC2AFB"/>
    <w:rsid w:val="00DC3A21"/>
    <w:rsid w:val="00DC3E8E"/>
    <w:rsid w:val="00DC4A69"/>
    <w:rsid w:val="00DC5DE1"/>
    <w:rsid w:val="00DD0472"/>
    <w:rsid w:val="00DD0C25"/>
    <w:rsid w:val="00DD1D87"/>
    <w:rsid w:val="00DD1E72"/>
    <w:rsid w:val="00DD559D"/>
    <w:rsid w:val="00DD5DE8"/>
    <w:rsid w:val="00DD7993"/>
    <w:rsid w:val="00DE0029"/>
    <w:rsid w:val="00DE206D"/>
    <w:rsid w:val="00DE3316"/>
    <w:rsid w:val="00DE35B1"/>
    <w:rsid w:val="00DE38FB"/>
    <w:rsid w:val="00DE4605"/>
    <w:rsid w:val="00DE58B3"/>
    <w:rsid w:val="00DE58D9"/>
    <w:rsid w:val="00DE78C3"/>
    <w:rsid w:val="00DF1B26"/>
    <w:rsid w:val="00DF2A0D"/>
    <w:rsid w:val="00DF3A3E"/>
    <w:rsid w:val="00DF5231"/>
    <w:rsid w:val="00DF5F13"/>
    <w:rsid w:val="00DF69AE"/>
    <w:rsid w:val="00DF6B76"/>
    <w:rsid w:val="00E0242B"/>
    <w:rsid w:val="00E0257C"/>
    <w:rsid w:val="00E02BEF"/>
    <w:rsid w:val="00E02F2A"/>
    <w:rsid w:val="00E03693"/>
    <w:rsid w:val="00E03EDC"/>
    <w:rsid w:val="00E04228"/>
    <w:rsid w:val="00E042CE"/>
    <w:rsid w:val="00E07D6D"/>
    <w:rsid w:val="00E11114"/>
    <w:rsid w:val="00E11852"/>
    <w:rsid w:val="00E1317E"/>
    <w:rsid w:val="00E13D8A"/>
    <w:rsid w:val="00E13FD0"/>
    <w:rsid w:val="00E1419A"/>
    <w:rsid w:val="00E14D6E"/>
    <w:rsid w:val="00E166A9"/>
    <w:rsid w:val="00E170A4"/>
    <w:rsid w:val="00E20C91"/>
    <w:rsid w:val="00E21004"/>
    <w:rsid w:val="00E21269"/>
    <w:rsid w:val="00E21774"/>
    <w:rsid w:val="00E2260D"/>
    <w:rsid w:val="00E24229"/>
    <w:rsid w:val="00E25603"/>
    <w:rsid w:val="00E25668"/>
    <w:rsid w:val="00E2594B"/>
    <w:rsid w:val="00E25DBB"/>
    <w:rsid w:val="00E26634"/>
    <w:rsid w:val="00E279B5"/>
    <w:rsid w:val="00E30839"/>
    <w:rsid w:val="00E31193"/>
    <w:rsid w:val="00E31AC0"/>
    <w:rsid w:val="00E32A20"/>
    <w:rsid w:val="00E3417C"/>
    <w:rsid w:val="00E343E3"/>
    <w:rsid w:val="00E349A5"/>
    <w:rsid w:val="00E402A8"/>
    <w:rsid w:val="00E41606"/>
    <w:rsid w:val="00E44C41"/>
    <w:rsid w:val="00E4539A"/>
    <w:rsid w:val="00E471AF"/>
    <w:rsid w:val="00E50B26"/>
    <w:rsid w:val="00E53295"/>
    <w:rsid w:val="00E54810"/>
    <w:rsid w:val="00E54FDA"/>
    <w:rsid w:val="00E56A02"/>
    <w:rsid w:val="00E57162"/>
    <w:rsid w:val="00E57586"/>
    <w:rsid w:val="00E57FE2"/>
    <w:rsid w:val="00E63153"/>
    <w:rsid w:val="00E63BC7"/>
    <w:rsid w:val="00E654B5"/>
    <w:rsid w:val="00E657DB"/>
    <w:rsid w:val="00E70488"/>
    <w:rsid w:val="00E729FC"/>
    <w:rsid w:val="00E73396"/>
    <w:rsid w:val="00E74960"/>
    <w:rsid w:val="00E75B23"/>
    <w:rsid w:val="00E75E3A"/>
    <w:rsid w:val="00E7683F"/>
    <w:rsid w:val="00E76B58"/>
    <w:rsid w:val="00E77E3C"/>
    <w:rsid w:val="00E80A46"/>
    <w:rsid w:val="00E82138"/>
    <w:rsid w:val="00E84485"/>
    <w:rsid w:val="00E852D0"/>
    <w:rsid w:val="00E8562B"/>
    <w:rsid w:val="00E86073"/>
    <w:rsid w:val="00E860B2"/>
    <w:rsid w:val="00E861BB"/>
    <w:rsid w:val="00E869DE"/>
    <w:rsid w:val="00E90296"/>
    <w:rsid w:val="00E91148"/>
    <w:rsid w:val="00E9361F"/>
    <w:rsid w:val="00E93F8B"/>
    <w:rsid w:val="00E943A8"/>
    <w:rsid w:val="00E96897"/>
    <w:rsid w:val="00EA056D"/>
    <w:rsid w:val="00EA3CF1"/>
    <w:rsid w:val="00EA4763"/>
    <w:rsid w:val="00EA4D3D"/>
    <w:rsid w:val="00EA70F2"/>
    <w:rsid w:val="00EA733B"/>
    <w:rsid w:val="00EA7CD6"/>
    <w:rsid w:val="00EA7F02"/>
    <w:rsid w:val="00EA7F93"/>
    <w:rsid w:val="00EB2249"/>
    <w:rsid w:val="00EB2A61"/>
    <w:rsid w:val="00EB2C8B"/>
    <w:rsid w:val="00EB2CE7"/>
    <w:rsid w:val="00EB7064"/>
    <w:rsid w:val="00EB71F3"/>
    <w:rsid w:val="00EC0217"/>
    <w:rsid w:val="00EC09AF"/>
    <w:rsid w:val="00EC1C7E"/>
    <w:rsid w:val="00EC2A1A"/>
    <w:rsid w:val="00EC3772"/>
    <w:rsid w:val="00EC43E6"/>
    <w:rsid w:val="00EC5E32"/>
    <w:rsid w:val="00EC7E68"/>
    <w:rsid w:val="00ED0806"/>
    <w:rsid w:val="00ED16C4"/>
    <w:rsid w:val="00ED1D87"/>
    <w:rsid w:val="00ED1EB3"/>
    <w:rsid w:val="00ED3D94"/>
    <w:rsid w:val="00ED48DB"/>
    <w:rsid w:val="00ED681F"/>
    <w:rsid w:val="00EE139C"/>
    <w:rsid w:val="00EE17E6"/>
    <w:rsid w:val="00EE1D80"/>
    <w:rsid w:val="00EE20A8"/>
    <w:rsid w:val="00EE3F1A"/>
    <w:rsid w:val="00EE5C2C"/>
    <w:rsid w:val="00EE7B4B"/>
    <w:rsid w:val="00EF2116"/>
    <w:rsid w:val="00EF2B0D"/>
    <w:rsid w:val="00EF553E"/>
    <w:rsid w:val="00EF5FD4"/>
    <w:rsid w:val="00EF7445"/>
    <w:rsid w:val="00F001A6"/>
    <w:rsid w:val="00F00CD4"/>
    <w:rsid w:val="00F00D71"/>
    <w:rsid w:val="00F0183B"/>
    <w:rsid w:val="00F0252E"/>
    <w:rsid w:val="00F02807"/>
    <w:rsid w:val="00F02A68"/>
    <w:rsid w:val="00F03219"/>
    <w:rsid w:val="00F06823"/>
    <w:rsid w:val="00F12A55"/>
    <w:rsid w:val="00F12EDB"/>
    <w:rsid w:val="00F136DC"/>
    <w:rsid w:val="00F13E9D"/>
    <w:rsid w:val="00F17C08"/>
    <w:rsid w:val="00F21A91"/>
    <w:rsid w:val="00F23AA1"/>
    <w:rsid w:val="00F23E1B"/>
    <w:rsid w:val="00F241C2"/>
    <w:rsid w:val="00F25AF3"/>
    <w:rsid w:val="00F25D43"/>
    <w:rsid w:val="00F26694"/>
    <w:rsid w:val="00F26EEE"/>
    <w:rsid w:val="00F3213F"/>
    <w:rsid w:val="00F33052"/>
    <w:rsid w:val="00F34DDA"/>
    <w:rsid w:val="00F3665E"/>
    <w:rsid w:val="00F3751E"/>
    <w:rsid w:val="00F40F30"/>
    <w:rsid w:val="00F42357"/>
    <w:rsid w:val="00F42680"/>
    <w:rsid w:val="00F42ACE"/>
    <w:rsid w:val="00F4410C"/>
    <w:rsid w:val="00F44B99"/>
    <w:rsid w:val="00F45E6B"/>
    <w:rsid w:val="00F45FA0"/>
    <w:rsid w:val="00F470F7"/>
    <w:rsid w:val="00F502BD"/>
    <w:rsid w:val="00F50CF0"/>
    <w:rsid w:val="00F52237"/>
    <w:rsid w:val="00F526A4"/>
    <w:rsid w:val="00F536A3"/>
    <w:rsid w:val="00F548B1"/>
    <w:rsid w:val="00F54B2F"/>
    <w:rsid w:val="00F56953"/>
    <w:rsid w:val="00F56FDF"/>
    <w:rsid w:val="00F570FC"/>
    <w:rsid w:val="00F57126"/>
    <w:rsid w:val="00F604C5"/>
    <w:rsid w:val="00F62785"/>
    <w:rsid w:val="00F62EDC"/>
    <w:rsid w:val="00F654E1"/>
    <w:rsid w:val="00F65CF9"/>
    <w:rsid w:val="00F66BAE"/>
    <w:rsid w:val="00F719F3"/>
    <w:rsid w:val="00F7232D"/>
    <w:rsid w:val="00F725B0"/>
    <w:rsid w:val="00F727D6"/>
    <w:rsid w:val="00F750B2"/>
    <w:rsid w:val="00F758C2"/>
    <w:rsid w:val="00F80D6A"/>
    <w:rsid w:val="00F83016"/>
    <w:rsid w:val="00F8325D"/>
    <w:rsid w:val="00F84ACF"/>
    <w:rsid w:val="00F86223"/>
    <w:rsid w:val="00F86D11"/>
    <w:rsid w:val="00F87941"/>
    <w:rsid w:val="00F90481"/>
    <w:rsid w:val="00F90C79"/>
    <w:rsid w:val="00F91B4D"/>
    <w:rsid w:val="00F934DA"/>
    <w:rsid w:val="00F939DA"/>
    <w:rsid w:val="00F945F3"/>
    <w:rsid w:val="00F94B00"/>
    <w:rsid w:val="00F955E7"/>
    <w:rsid w:val="00F959AE"/>
    <w:rsid w:val="00F961F0"/>
    <w:rsid w:val="00F96415"/>
    <w:rsid w:val="00F96D6B"/>
    <w:rsid w:val="00F97103"/>
    <w:rsid w:val="00F97823"/>
    <w:rsid w:val="00F97A96"/>
    <w:rsid w:val="00FA119E"/>
    <w:rsid w:val="00FA12A3"/>
    <w:rsid w:val="00FA1F2E"/>
    <w:rsid w:val="00FA21A2"/>
    <w:rsid w:val="00FA2B12"/>
    <w:rsid w:val="00FA5107"/>
    <w:rsid w:val="00FA68A7"/>
    <w:rsid w:val="00FA7587"/>
    <w:rsid w:val="00FB1F5B"/>
    <w:rsid w:val="00FB23BC"/>
    <w:rsid w:val="00FB27F3"/>
    <w:rsid w:val="00FB3C94"/>
    <w:rsid w:val="00FB4CD0"/>
    <w:rsid w:val="00FB53B1"/>
    <w:rsid w:val="00FB6B96"/>
    <w:rsid w:val="00FC0917"/>
    <w:rsid w:val="00FC122B"/>
    <w:rsid w:val="00FC3A77"/>
    <w:rsid w:val="00FC3C62"/>
    <w:rsid w:val="00FC401A"/>
    <w:rsid w:val="00FC4B5A"/>
    <w:rsid w:val="00FC5AE5"/>
    <w:rsid w:val="00FC5AFC"/>
    <w:rsid w:val="00FC6EE7"/>
    <w:rsid w:val="00FD4550"/>
    <w:rsid w:val="00FD60CC"/>
    <w:rsid w:val="00FD6171"/>
    <w:rsid w:val="00FE3EC2"/>
    <w:rsid w:val="00FE44D7"/>
    <w:rsid w:val="00FE587B"/>
    <w:rsid w:val="00FE74BB"/>
    <w:rsid w:val="00FF0509"/>
    <w:rsid w:val="00FF094D"/>
    <w:rsid w:val="00FF276F"/>
    <w:rsid w:val="00FF3289"/>
    <w:rsid w:val="00FF3CC3"/>
    <w:rsid w:val="00FF4A8A"/>
    <w:rsid w:val="00FF564E"/>
    <w:rsid w:val="00FF57D0"/>
    <w:rsid w:val="00FF59D7"/>
    <w:rsid w:val="00FF5DB1"/>
    <w:rsid w:val="00FF5DDE"/>
    <w:rsid w:val="00FF6215"/>
    <w:rsid w:val="00FF6E29"/>
    <w:rsid w:val="00FF769D"/>
    <w:rsid w:val="00FF7FAF"/>
    <w:rsid w:val="01AD2363"/>
    <w:rsid w:val="01E7B1A2"/>
    <w:rsid w:val="021D6073"/>
    <w:rsid w:val="0337AABB"/>
    <w:rsid w:val="03403E53"/>
    <w:rsid w:val="03EFF082"/>
    <w:rsid w:val="04263DB3"/>
    <w:rsid w:val="0454E1FA"/>
    <w:rsid w:val="04596348"/>
    <w:rsid w:val="04AE52AE"/>
    <w:rsid w:val="0502F8D3"/>
    <w:rsid w:val="050A6452"/>
    <w:rsid w:val="05F5CB2C"/>
    <w:rsid w:val="062696FB"/>
    <w:rsid w:val="063D7AC4"/>
    <w:rsid w:val="0648B521"/>
    <w:rsid w:val="079639F8"/>
    <w:rsid w:val="07E48582"/>
    <w:rsid w:val="087296AD"/>
    <w:rsid w:val="089D489D"/>
    <w:rsid w:val="08B89831"/>
    <w:rsid w:val="08BA1701"/>
    <w:rsid w:val="0903BF17"/>
    <w:rsid w:val="090DC853"/>
    <w:rsid w:val="096E9975"/>
    <w:rsid w:val="0A0A0007"/>
    <w:rsid w:val="0A5E79A0"/>
    <w:rsid w:val="0B1C2644"/>
    <w:rsid w:val="0B2DEDFC"/>
    <w:rsid w:val="0B3E7FE5"/>
    <w:rsid w:val="0B70FAB6"/>
    <w:rsid w:val="0BDFE63D"/>
    <w:rsid w:val="0C229B9D"/>
    <w:rsid w:val="0C847F2B"/>
    <w:rsid w:val="0CA25C34"/>
    <w:rsid w:val="0CC3B023"/>
    <w:rsid w:val="0D21AE41"/>
    <w:rsid w:val="0D4845F1"/>
    <w:rsid w:val="0D573FC1"/>
    <w:rsid w:val="0E18D5CD"/>
    <w:rsid w:val="0E710D71"/>
    <w:rsid w:val="0E8BA66B"/>
    <w:rsid w:val="0ECA26DB"/>
    <w:rsid w:val="0ED478B5"/>
    <w:rsid w:val="0F34693C"/>
    <w:rsid w:val="103FF0A1"/>
    <w:rsid w:val="10B2D4D3"/>
    <w:rsid w:val="11DCDAC5"/>
    <w:rsid w:val="130D023B"/>
    <w:rsid w:val="135553B2"/>
    <w:rsid w:val="13A74278"/>
    <w:rsid w:val="13BB36EA"/>
    <w:rsid w:val="14A8442A"/>
    <w:rsid w:val="14C40BD7"/>
    <w:rsid w:val="14EBBD16"/>
    <w:rsid w:val="15084E6E"/>
    <w:rsid w:val="1526B960"/>
    <w:rsid w:val="1659622F"/>
    <w:rsid w:val="16BAA111"/>
    <w:rsid w:val="17D2C55D"/>
    <w:rsid w:val="182BF2AB"/>
    <w:rsid w:val="18619168"/>
    <w:rsid w:val="18777672"/>
    <w:rsid w:val="190B2119"/>
    <w:rsid w:val="1924E82F"/>
    <w:rsid w:val="19BD4742"/>
    <w:rsid w:val="1A4D7668"/>
    <w:rsid w:val="1A6892EE"/>
    <w:rsid w:val="1A711443"/>
    <w:rsid w:val="1A8C6160"/>
    <w:rsid w:val="1B97A54D"/>
    <w:rsid w:val="1B9C8903"/>
    <w:rsid w:val="1BD59067"/>
    <w:rsid w:val="1C179972"/>
    <w:rsid w:val="1C6D551F"/>
    <w:rsid w:val="1C879BA2"/>
    <w:rsid w:val="1C9BA5D9"/>
    <w:rsid w:val="1CCACD98"/>
    <w:rsid w:val="1D0D8D67"/>
    <w:rsid w:val="1D28AB8F"/>
    <w:rsid w:val="1D60AE5D"/>
    <w:rsid w:val="1DE0946A"/>
    <w:rsid w:val="1E01BEC4"/>
    <w:rsid w:val="1EBE0354"/>
    <w:rsid w:val="1FBE55FE"/>
    <w:rsid w:val="1FE4F5C2"/>
    <w:rsid w:val="20026E5A"/>
    <w:rsid w:val="200500B3"/>
    <w:rsid w:val="201056DB"/>
    <w:rsid w:val="204CA86A"/>
    <w:rsid w:val="2096D365"/>
    <w:rsid w:val="20DD627F"/>
    <w:rsid w:val="2129F0E0"/>
    <w:rsid w:val="214B3475"/>
    <w:rsid w:val="21E503ED"/>
    <w:rsid w:val="21F0FDBD"/>
    <w:rsid w:val="2229DFDE"/>
    <w:rsid w:val="238AC93C"/>
    <w:rsid w:val="23F4FAEA"/>
    <w:rsid w:val="24060F61"/>
    <w:rsid w:val="244313DD"/>
    <w:rsid w:val="24546A0C"/>
    <w:rsid w:val="25EBA64F"/>
    <w:rsid w:val="276E8450"/>
    <w:rsid w:val="27C42D3F"/>
    <w:rsid w:val="28ADE4E6"/>
    <w:rsid w:val="293260B8"/>
    <w:rsid w:val="29AFA512"/>
    <w:rsid w:val="29B166E6"/>
    <w:rsid w:val="29E31C0C"/>
    <w:rsid w:val="29FFF1A5"/>
    <w:rsid w:val="2A485F80"/>
    <w:rsid w:val="2C1B386A"/>
    <w:rsid w:val="2C218585"/>
    <w:rsid w:val="2C53A985"/>
    <w:rsid w:val="2C600D23"/>
    <w:rsid w:val="2CDDF8AB"/>
    <w:rsid w:val="2DACE72A"/>
    <w:rsid w:val="2E3DF2C8"/>
    <w:rsid w:val="2E656CEB"/>
    <w:rsid w:val="2F2731B6"/>
    <w:rsid w:val="2F842212"/>
    <w:rsid w:val="30D39A36"/>
    <w:rsid w:val="31C6B240"/>
    <w:rsid w:val="330ECD6C"/>
    <w:rsid w:val="330FF620"/>
    <w:rsid w:val="332B4E44"/>
    <w:rsid w:val="350DDD53"/>
    <w:rsid w:val="35C7C181"/>
    <w:rsid w:val="362FD86A"/>
    <w:rsid w:val="36573387"/>
    <w:rsid w:val="366AB09C"/>
    <w:rsid w:val="368C6634"/>
    <w:rsid w:val="36C44A5F"/>
    <w:rsid w:val="36DEA5BC"/>
    <w:rsid w:val="376DA89B"/>
    <w:rsid w:val="3882DF86"/>
    <w:rsid w:val="39283004"/>
    <w:rsid w:val="39D31BBC"/>
    <w:rsid w:val="3A341E3A"/>
    <w:rsid w:val="3A7068AF"/>
    <w:rsid w:val="3A72898E"/>
    <w:rsid w:val="3AA5495D"/>
    <w:rsid w:val="3ACDD23F"/>
    <w:rsid w:val="3AFF7F01"/>
    <w:rsid w:val="3B13854D"/>
    <w:rsid w:val="3B79C412"/>
    <w:rsid w:val="3BCFEE9B"/>
    <w:rsid w:val="3BD4A979"/>
    <w:rsid w:val="3BF99237"/>
    <w:rsid w:val="3C54576B"/>
    <w:rsid w:val="3C5FD0C6"/>
    <w:rsid w:val="3C93DDF2"/>
    <w:rsid w:val="3C95EDC9"/>
    <w:rsid w:val="3D89C722"/>
    <w:rsid w:val="3D9D98B7"/>
    <w:rsid w:val="3E025FAB"/>
    <w:rsid w:val="3E0E0AEE"/>
    <w:rsid w:val="3E5154E0"/>
    <w:rsid w:val="3F6ED8F0"/>
    <w:rsid w:val="3F95CFCF"/>
    <w:rsid w:val="40143846"/>
    <w:rsid w:val="4023014C"/>
    <w:rsid w:val="4023687B"/>
    <w:rsid w:val="4032F684"/>
    <w:rsid w:val="415E4349"/>
    <w:rsid w:val="418FA4F8"/>
    <w:rsid w:val="42C8623B"/>
    <w:rsid w:val="42E3E62A"/>
    <w:rsid w:val="43830852"/>
    <w:rsid w:val="43AF4983"/>
    <w:rsid w:val="45484BF5"/>
    <w:rsid w:val="461AEECC"/>
    <w:rsid w:val="486AB3B3"/>
    <w:rsid w:val="486E00EB"/>
    <w:rsid w:val="48A64152"/>
    <w:rsid w:val="49A34F75"/>
    <w:rsid w:val="4A1F7DD4"/>
    <w:rsid w:val="4A32FB1F"/>
    <w:rsid w:val="4A788C4F"/>
    <w:rsid w:val="4AA87F61"/>
    <w:rsid w:val="4AE78F42"/>
    <w:rsid w:val="4AF34999"/>
    <w:rsid w:val="4B9607BD"/>
    <w:rsid w:val="4BBC693F"/>
    <w:rsid w:val="4C2BC3F0"/>
    <w:rsid w:val="4CC06C31"/>
    <w:rsid w:val="4CC9FB47"/>
    <w:rsid w:val="4CDB0102"/>
    <w:rsid w:val="4D151CC5"/>
    <w:rsid w:val="4D3A3B1D"/>
    <w:rsid w:val="4E36A387"/>
    <w:rsid w:val="4EBB1E77"/>
    <w:rsid w:val="4F0587E4"/>
    <w:rsid w:val="4F31D9A7"/>
    <w:rsid w:val="4F8DB241"/>
    <w:rsid w:val="4FFCC4BE"/>
    <w:rsid w:val="5010992D"/>
    <w:rsid w:val="50882FE8"/>
    <w:rsid w:val="509A09F7"/>
    <w:rsid w:val="52AA09D8"/>
    <w:rsid w:val="52AEA7EA"/>
    <w:rsid w:val="5337F217"/>
    <w:rsid w:val="536096FA"/>
    <w:rsid w:val="5436826A"/>
    <w:rsid w:val="5523C1A6"/>
    <w:rsid w:val="552B02DB"/>
    <w:rsid w:val="553CEA03"/>
    <w:rsid w:val="55F415E2"/>
    <w:rsid w:val="58227281"/>
    <w:rsid w:val="5848D2F8"/>
    <w:rsid w:val="586D0B08"/>
    <w:rsid w:val="5873CCAF"/>
    <w:rsid w:val="58C67386"/>
    <w:rsid w:val="5915102A"/>
    <w:rsid w:val="593AD934"/>
    <w:rsid w:val="5AE60BE8"/>
    <w:rsid w:val="5B207A96"/>
    <w:rsid w:val="5CB88891"/>
    <w:rsid w:val="5CDAA625"/>
    <w:rsid w:val="5D806AD5"/>
    <w:rsid w:val="5DB4A869"/>
    <w:rsid w:val="5E1C418E"/>
    <w:rsid w:val="5E8E1349"/>
    <w:rsid w:val="5F0A70D7"/>
    <w:rsid w:val="5FDC0E7C"/>
    <w:rsid w:val="605392AD"/>
    <w:rsid w:val="6060B3F1"/>
    <w:rsid w:val="60AFC15A"/>
    <w:rsid w:val="6130A845"/>
    <w:rsid w:val="6192B7FF"/>
    <w:rsid w:val="61CECD34"/>
    <w:rsid w:val="62421199"/>
    <w:rsid w:val="62B1AAB6"/>
    <w:rsid w:val="62C93F9A"/>
    <w:rsid w:val="62E8D344"/>
    <w:rsid w:val="631D5E47"/>
    <w:rsid w:val="647F4892"/>
    <w:rsid w:val="64AB005F"/>
    <w:rsid w:val="656EF165"/>
    <w:rsid w:val="65B28695"/>
    <w:rsid w:val="669BA56A"/>
    <w:rsid w:val="669E7F39"/>
    <w:rsid w:val="676C62BF"/>
    <w:rsid w:val="67E82FCC"/>
    <w:rsid w:val="689C60EA"/>
    <w:rsid w:val="68AE39AC"/>
    <w:rsid w:val="68B588C0"/>
    <w:rsid w:val="691CE9A8"/>
    <w:rsid w:val="691FCD86"/>
    <w:rsid w:val="698D8543"/>
    <w:rsid w:val="698EC207"/>
    <w:rsid w:val="69CBA83C"/>
    <w:rsid w:val="6A3F19C0"/>
    <w:rsid w:val="6A48BF0F"/>
    <w:rsid w:val="6AE65EB8"/>
    <w:rsid w:val="6B08485D"/>
    <w:rsid w:val="6B28092B"/>
    <w:rsid w:val="6B4382FA"/>
    <w:rsid w:val="6B57C5F1"/>
    <w:rsid w:val="6B75AF7A"/>
    <w:rsid w:val="6BF45623"/>
    <w:rsid w:val="6C80E37B"/>
    <w:rsid w:val="6C8B02BF"/>
    <w:rsid w:val="6CADF130"/>
    <w:rsid w:val="6D7BC87F"/>
    <w:rsid w:val="6D84C440"/>
    <w:rsid w:val="6DDAF606"/>
    <w:rsid w:val="6DF1693C"/>
    <w:rsid w:val="6E0D027B"/>
    <w:rsid w:val="6E7DA398"/>
    <w:rsid w:val="6F4D4441"/>
    <w:rsid w:val="6F669E10"/>
    <w:rsid w:val="705242EC"/>
    <w:rsid w:val="7056F9FD"/>
    <w:rsid w:val="70729E75"/>
    <w:rsid w:val="70794B40"/>
    <w:rsid w:val="712B9F66"/>
    <w:rsid w:val="71772ED1"/>
    <w:rsid w:val="71D0D0BD"/>
    <w:rsid w:val="722C0B84"/>
    <w:rsid w:val="72583563"/>
    <w:rsid w:val="72C560DF"/>
    <w:rsid w:val="72CCA8CC"/>
    <w:rsid w:val="740B4827"/>
    <w:rsid w:val="7490FB63"/>
    <w:rsid w:val="74C6B2D4"/>
    <w:rsid w:val="75CC2B37"/>
    <w:rsid w:val="75CCDA9A"/>
    <w:rsid w:val="76AC19D8"/>
    <w:rsid w:val="76D1A5AF"/>
    <w:rsid w:val="77423EC5"/>
    <w:rsid w:val="7743393D"/>
    <w:rsid w:val="776454DF"/>
    <w:rsid w:val="7790BA8D"/>
    <w:rsid w:val="7854855C"/>
    <w:rsid w:val="78C11FE2"/>
    <w:rsid w:val="7951F0AC"/>
    <w:rsid w:val="79A2117D"/>
    <w:rsid w:val="79F055BD"/>
    <w:rsid w:val="79F76966"/>
    <w:rsid w:val="7B13D8E4"/>
    <w:rsid w:val="7B35F458"/>
    <w:rsid w:val="7B76CF82"/>
    <w:rsid w:val="7E2044B5"/>
    <w:rsid w:val="7E5F2E97"/>
    <w:rsid w:val="7F5354A0"/>
    <w:rsid w:val="7F721FB9"/>
    <w:rsid w:val="7FAB0DE2"/>
    <w:rsid w:val="7FE6932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F9D192D2-9D74-4D6D-AB82-6BEC8D3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789">
      <w:bodyDiv w:val="1"/>
      <w:marLeft w:val="0"/>
      <w:marRight w:val="0"/>
      <w:marTop w:val="0"/>
      <w:marBottom w:val="0"/>
      <w:divBdr>
        <w:top w:val="none" w:sz="0" w:space="0" w:color="auto"/>
        <w:left w:val="none" w:sz="0" w:space="0" w:color="auto"/>
        <w:bottom w:val="none" w:sz="0" w:space="0" w:color="auto"/>
        <w:right w:val="none" w:sz="0" w:space="0" w:color="auto"/>
      </w:divBdr>
    </w:div>
    <w:div w:id="226917279">
      <w:bodyDiv w:val="1"/>
      <w:marLeft w:val="0"/>
      <w:marRight w:val="0"/>
      <w:marTop w:val="0"/>
      <w:marBottom w:val="0"/>
      <w:divBdr>
        <w:top w:val="none" w:sz="0" w:space="0" w:color="auto"/>
        <w:left w:val="none" w:sz="0" w:space="0" w:color="auto"/>
        <w:bottom w:val="none" w:sz="0" w:space="0" w:color="auto"/>
        <w:right w:val="none" w:sz="0" w:space="0" w:color="auto"/>
      </w:divBdr>
    </w:div>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7210049">
      <w:bodyDiv w:val="1"/>
      <w:marLeft w:val="0"/>
      <w:marRight w:val="0"/>
      <w:marTop w:val="0"/>
      <w:marBottom w:val="0"/>
      <w:divBdr>
        <w:top w:val="none" w:sz="0" w:space="0" w:color="auto"/>
        <w:left w:val="none" w:sz="0" w:space="0" w:color="auto"/>
        <w:bottom w:val="none" w:sz="0" w:space="0" w:color="auto"/>
        <w:right w:val="none" w:sz="0" w:space="0" w:color="auto"/>
      </w:divBdr>
    </w:div>
    <w:div w:id="557937337">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543635885">
      <w:bodyDiv w:val="1"/>
      <w:marLeft w:val="0"/>
      <w:marRight w:val="0"/>
      <w:marTop w:val="0"/>
      <w:marBottom w:val="0"/>
      <w:divBdr>
        <w:top w:val="none" w:sz="0" w:space="0" w:color="auto"/>
        <w:left w:val="none" w:sz="0" w:space="0" w:color="auto"/>
        <w:bottom w:val="none" w:sz="0" w:space="0" w:color="auto"/>
        <w:right w:val="none" w:sz="0" w:space="0" w:color="auto"/>
      </w:divBdr>
    </w:div>
    <w:div w:id="1630892649">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682471848">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recognising-20-years-service-wimmer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yoorrookforjustice.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alaid.vic.gov.au/strengthening-sense-belonging-through-citizensh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reducing-youth-offending-and-reducing-harm-childr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alaid.vic.gov.au/were-establishing-new-victoria-legal-aid-service-wodong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our-new-office-mallee-supports-easier-access-jus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8" ma:contentTypeDescription="Create a new document." ma:contentTypeScope="" ma:versionID="099f90012258fb280d1c4c743fb1f7f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bfe77011925267654221987c5dbc344b"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Gayathri Paramasivam</DisplayName>
        <AccountId>23</AccountId>
        <AccountType/>
      </UserInfo>
      <UserInfo>
        <DisplayName>Emma Hunt</DisplayName>
        <AccountId>45</AccountId>
        <AccountType/>
      </UserInfo>
      <UserInfo>
        <DisplayName>SharingLinks.a1be6307-1f2b-45e9-8272-4d9b45a3e6f7.Flexible.c9df7a21-cc0d-48c3-b5bf-39452bd07912</DisplayName>
        <AccountId>472</AccountId>
        <AccountType/>
      </UserInfo>
      <UserInfo>
        <DisplayName>Sarah Nieuwenhuysen</DisplayName>
        <AccountId>14</AccountId>
        <AccountType/>
      </UserInfo>
      <UserInfo>
        <DisplayName>SharingLinks.a9befbd5-8bbb-4ee2-b45f-70481a83538a.Flexible.80f09981-c93c-4f9f-a8fa-b77ce9786b4b</DisplayName>
        <AccountId>148</AccountId>
        <AccountType/>
      </UserInfo>
      <UserInfo>
        <DisplayName>Jenny Tam</DisplayName>
        <AccountId>343</AccountId>
        <AccountType/>
      </UserInfo>
      <UserInfo>
        <DisplayName>Office of the CEO Members</DisplayName>
        <AccountId>7</AccountId>
        <AccountType/>
      </UserInfo>
      <UserInfo>
        <DisplayName>Georgie Dwyer</DisplayName>
        <AccountId>21</AccountId>
        <AccountType/>
      </UserInfo>
      <UserInfo>
        <DisplayName>SharingLinks.36d3f424-5d87-4486-9839-afec24e5db55.Flexible.4a3297de-43ff-4fbf-97dd-39db48a327d5</DisplayName>
        <AccountId>130</AccountId>
        <AccountType/>
      </UserInfo>
      <UserInfo>
        <DisplayName>SharingLinks.e3738237-abde-4d56-a82f-a53e5d373688.Flexible.375fd841-061a-412c-8109-9637384c16e7</DisplayName>
        <AccountId>157</AccountId>
        <AccountType/>
      </UserInfo>
      <UserInfo>
        <DisplayName>Mahnoor Sikandar</DisplayName>
        <AccountId>317</AccountId>
        <AccountType/>
      </UserInfo>
      <UserInfo>
        <DisplayName>Daisy Smith</DisplayName>
        <AccountId>177</AccountId>
        <AccountType/>
      </UserInfo>
      <UserInfo>
        <DisplayName>SharingLinks.8108e108-d717-4ae5-bc87-8423f95641d7.Flexible.1b525bf5-079b-45e7-8ca2-793e83bdea1f</DisplayName>
        <AccountId>175</AccountId>
        <AccountType/>
      </UserInfo>
      <UserInfo>
        <DisplayName>SharingLinks.3861b5c2-1968-444d-9042-afe83d871b5a.Flexible.2c35ee99-92ed-432d-82c8-5b127c1c1df0</DisplayName>
        <AccountId>117</AccountId>
        <AccountType/>
      </UserInfo>
      <UserInfo>
        <DisplayName>Alex EdneyBrowne</DisplayName>
        <AccountId>320</AccountId>
        <AccountType/>
      </UserInfo>
      <UserInfo>
        <DisplayName>Louise Glanville</DisplayName>
        <AccountId>13</AccountId>
        <AccountType/>
      </UserInfo>
      <UserInfo>
        <DisplayName>Martha Arkalis</DisplayName>
        <AccountId>11</AccountId>
        <AccountType/>
      </UserInfo>
      <UserInfo>
        <DisplayName>Sonia Li</DisplayName>
        <AccountId>478</AccountId>
        <AccountType/>
      </UserInfo>
      <UserInfo>
        <DisplayName>Simon Ho</DisplayName>
        <AccountId>79</AccountId>
        <AccountType/>
      </UserInfo>
      <UserInfo>
        <DisplayName>Cameron Hume</DisplayName>
        <AccountId>15</AccountId>
        <AccountType/>
      </UserInfo>
    </SharedWithUsers>
  </documentManagement>
</p:properties>
</file>

<file path=customXml/itemProps1.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2.xml><?xml version="1.0" encoding="utf-8"?>
<ds:datastoreItem xmlns:ds="http://schemas.openxmlformats.org/officeDocument/2006/customXml" ds:itemID="{1AE2B97B-91D2-430E-9069-E44778BC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4.xml><?xml version="1.0" encoding="utf-8"?>
<ds:datastoreItem xmlns:ds="http://schemas.openxmlformats.org/officeDocument/2006/customXml" ds:itemID="{96D329AF-D008-4FD5-8701-63DC375D9D26}">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68c7d542-4e7f-4a13-a678-0dc97ca94df5"/>
    <ds:schemaRef ds:uri="http://purl.org/dc/dcmitype/"/>
    <ds:schemaRef ds:uri="http://purl.org/dc/elements/1.1/"/>
    <ds:schemaRef ds:uri="http://schemas.openxmlformats.org/package/2006/metadata/core-properties"/>
    <ds:schemaRef ds:uri="e90065c7-7f7f-4df0-a469-5749d80eada3"/>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213</TotalTime>
  <Pages>5</Pages>
  <Words>2147</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2023-24 Quarter Four Report</vt:lpstr>
    </vt:vector>
  </TitlesOfParts>
  <Company>Victoria Legal Aid</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Quarter Four Report</dc:title>
  <dc:subject/>
  <dc:creator>Victoria Legal Aid</dc:creator>
  <cp:keywords/>
  <dc:description/>
  <cp:lastModifiedBy>Rhys Owen</cp:lastModifiedBy>
  <cp:revision>110</cp:revision>
  <cp:lastPrinted>2023-01-04T18:40:00Z</cp:lastPrinted>
  <dcterms:created xsi:type="dcterms:W3CDTF">2024-08-14T07:44:00Z</dcterms:created>
  <dcterms:modified xsi:type="dcterms:W3CDTF">2024-08-29T00:42:00Z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