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CBB3D" w14:textId="35F3D16D" w:rsidR="008A7471" w:rsidRPr="0084651F" w:rsidRDefault="008A7471" w:rsidP="0084651F">
      <w:pPr>
        <w:pStyle w:val="Heading1"/>
      </w:pPr>
      <w:r>
        <w:t>Victoria Legal Aid 202</w:t>
      </w:r>
      <w:r w:rsidR="00B22546">
        <w:t>3</w:t>
      </w:r>
      <w:r>
        <w:t>–2</w:t>
      </w:r>
      <w:r w:rsidR="00B22546">
        <w:t>4</w:t>
      </w:r>
      <w:r>
        <w:t xml:space="preserve"> </w:t>
      </w:r>
      <w:r w:rsidR="0084651F">
        <w:t xml:space="preserve">quarter three report </w:t>
      </w:r>
      <w:r w:rsidR="00966DB4">
        <w:br/>
      </w:r>
      <w:r w:rsidR="00A46A91">
        <w:t>January</w:t>
      </w:r>
      <w:r w:rsidRPr="6B8ABD5E">
        <w:t>–</w:t>
      </w:r>
      <w:r w:rsidR="00A46A91">
        <w:t>March</w:t>
      </w:r>
      <w:r>
        <w:t xml:space="preserve"> </w:t>
      </w:r>
      <w:r w:rsidRPr="6B8ABD5E">
        <w:t>20</w:t>
      </w:r>
      <w:r>
        <w:t>2</w:t>
      </w:r>
      <w:r w:rsidR="00177162">
        <w:t>4</w:t>
      </w:r>
    </w:p>
    <w:p w14:paraId="31F35BC2" w14:textId="6013DEFE" w:rsidR="00B16383" w:rsidRPr="00B16383" w:rsidRDefault="008A7471" w:rsidP="00B16383">
      <w:pPr>
        <w:pStyle w:val="Heading2"/>
      </w:pPr>
      <w:r>
        <w:t xml:space="preserve">Message from the </w:t>
      </w:r>
      <w:r w:rsidRPr="001F0CF5">
        <w:t>CEO</w:t>
      </w:r>
      <w:bookmarkStart w:id="0" w:name="_Hlk164855447"/>
    </w:p>
    <w:p w14:paraId="77A998B7" w14:textId="0031EB65" w:rsidR="00A46A91" w:rsidRDefault="001E3078" w:rsidP="20DD627F">
      <w:pPr>
        <w:pStyle w:val="NormalWeb"/>
        <w:spacing w:before="120" w:beforeAutospacing="0" w:after="120" w:afterAutospacing="0" w:line="276" w:lineRule="auto"/>
        <w:rPr>
          <w:rFonts w:ascii="Arial" w:hAnsi="Arial"/>
          <w:sz w:val="22"/>
          <w:szCs w:val="22"/>
          <w:lang w:eastAsia="en-US"/>
        </w:rPr>
      </w:pPr>
      <w:r w:rsidRPr="20DD627F">
        <w:rPr>
          <w:rFonts w:ascii="Arial" w:hAnsi="Arial"/>
          <w:sz w:val="22"/>
          <w:szCs w:val="22"/>
          <w:lang w:eastAsia="en-US"/>
        </w:rPr>
        <w:t xml:space="preserve">On 1 March 2024, we commenced our expanded </w:t>
      </w:r>
      <w:hyperlink r:id="rId11" w:history="1">
        <w:r w:rsidR="00A46A91" w:rsidRPr="20DD627F">
          <w:rPr>
            <w:rStyle w:val="Hyperlink"/>
            <w:sz w:val="22"/>
            <w:szCs w:val="22"/>
            <w:lang w:eastAsia="en-US"/>
          </w:rPr>
          <w:t>Victim Legal Service</w:t>
        </w:r>
      </w:hyperlink>
      <w:r w:rsidR="00A46A91" w:rsidRPr="20DD627F">
        <w:rPr>
          <w:rFonts w:ascii="Arial" w:hAnsi="Arial"/>
          <w:sz w:val="22"/>
          <w:szCs w:val="22"/>
          <w:lang w:eastAsia="en-US"/>
        </w:rPr>
        <w:t>. As part of a federal funded pilot program, th</w:t>
      </w:r>
      <w:r w:rsidRPr="20DD627F">
        <w:rPr>
          <w:rFonts w:ascii="Arial" w:hAnsi="Arial"/>
          <w:sz w:val="22"/>
          <w:szCs w:val="22"/>
          <w:lang w:eastAsia="en-US"/>
        </w:rPr>
        <w:t xml:space="preserve">is service </w:t>
      </w:r>
      <w:r w:rsidR="00A46A91" w:rsidRPr="20DD627F">
        <w:rPr>
          <w:rFonts w:ascii="Arial" w:hAnsi="Arial"/>
          <w:sz w:val="22"/>
          <w:szCs w:val="22"/>
          <w:lang w:eastAsia="en-US"/>
        </w:rPr>
        <w:t xml:space="preserve">will </w:t>
      </w:r>
      <w:r w:rsidRPr="20DD627F">
        <w:rPr>
          <w:rFonts w:ascii="Arial" w:hAnsi="Arial"/>
          <w:sz w:val="22"/>
          <w:szCs w:val="22"/>
          <w:lang w:eastAsia="en-US"/>
        </w:rPr>
        <w:t xml:space="preserve">provide legal assistance, </w:t>
      </w:r>
      <w:r w:rsidR="00E63BC7" w:rsidRPr="20DD627F">
        <w:rPr>
          <w:rFonts w:ascii="Arial" w:hAnsi="Arial"/>
          <w:sz w:val="22"/>
          <w:szCs w:val="22"/>
          <w:lang w:eastAsia="en-US"/>
        </w:rPr>
        <w:t xml:space="preserve">advice </w:t>
      </w:r>
      <w:r w:rsidRPr="20DD627F">
        <w:rPr>
          <w:rFonts w:ascii="Arial" w:hAnsi="Arial"/>
          <w:sz w:val="22"/>
          <w:szCs w:val="22"/>
          <w:lang w:eastAsia="en-US"/>
        </w:rPr>
        <w:t xml:space="preserve">and representation to victim-survivors of sexual violence who want to understand their options to protect their confidential communications and health information, such as medical or counselling records, in a court proceeding. </w:t>
      </w:r>
      <w:r w:rsidR="00A46A91" w:rsidRPr="20DD627F">
        <w:rPr>
          <w:rFonts w:ascii="Arial" w:hAnsi="Arial"/>
          <w:sz w:val="22"/>
          <w:szCs w:val="22"/>
          <w:lang w:eastAsia="en-US"/>
        </w:rPr>
        <w:t>As part of the expansion,</w:t>
      </w:r>
      <w:r w:rsidR="00BF7468">
        <w:rPr>
          <w:rFonts w:ascii="Arial" w:hAnsi="Arial"/>
          <w:sz w:val="22"/>
          <w:szCs w:val="22"/>
          <w:lang w:eastAsia="en-US"/>
        </w:rPr>
        <w:t xml:space="preserve"> and</w:t>
      </w:r>
      <w:r w:rsidR="00A46A91" w:rsidRPr="20DD627F">
        <w:rPr>
          <w:rFonts w:ascii="Arial" w:hAnsi="Arial"/>
          <w:sz w:val="22"/>
          <w:szCs w:val="22"/>
          <w:lang w:eastAsia="en-US"/>
        </w:rPr>
        <w:t xml:space="preserve"> in partnership with Djirra, </w:t>
      </w:r>
      <w:r w:rsidR="007A4ED4">
        <w:rPr>
          <w:rFonts w:ascii="Arial" w:hAnsi="Arial"/>
          <w:sz w:val="22"/>
          <w:szCs w:val="22"/>
          <w:lang w:eastAsia="en-US"/>
        </w:rPr>
        <w:t>the</w:t>
      </w:r>
      <w:r w:rsidR="007A4ED4" w:rsidRPr="20DD627F">
        <w:rPr>
          <w:rFonts w:ascii="Arial" w:hAnsi="Arial"/>
          <w:sz w:val="22"/>
          <w:szCs w:val="22"/>
          <w:lang w:eastAsia="en-US"/>
        </w:rPr>
        <w:t xml:space="preserve"> </w:t>
      </w:r>
      <w:r w:rsidR="00A46A91" w:rsidRPr="20DD627F">
        <w:rPr>
          <w:rFonts w:ascii="Arial" w:hAnsi="Arial"/>
          <w:sz w:val="22"/>
          <w:szCs w:val="22"/>
          <w:lang w:eastAsia="en-US"/>
        </w:rPr>
        <w:t>Victim Legal Service will also provide support to Aboriginal and Torres Strait Islander victim</w:t>
      </w:r>
      <w:r w:rsidR="5D806AD5" w:rsidRPr="20DD627F">
        <w:rPr>
          <w:rFonts w:ascii="Arial" w:hAnsi="Arial"/>
          <w:sz w:val="22"/>
          <w:szCs w:val="22"/>
          <w:lang w:eastAsia="en-US"/>
        </w:rPr>
        <w:t>-</w:t>
      </w:r>
      <w:r w:rsidR="00A46A91" w:rsidRPr="20DD627F">
        <w:rPr>
          <w:rFonts w:ascii="Arial" w:hAnsi="Arial"/>
          <w:sz w:val="22"/>
          <w:szCs w:val="22"/>
          <w:lang w:eastAsia="en-US"/>
        </w:rPr>
        <w:t>survivors seeking to report sexual assault.</w:t>
      </w:r>
    </w:p>
    <w:p w14:paraId="7BE305A6" w14:textId="0CB9A7B0" w:rsidR="00791C6A" w:rsidRDefault="00A46A91" w:rsidP="00481FB3">
      <w:pPr>
        <w:pStyle w:val="NormalWeb"/>
        <w:spacing w:before="120" w:beforeAutospacing="0" w:after="120" w:afterAutospacing="0" w:line="276" w:lineRule="auto"/>
        <w:rPr>
          <w:rFonts w:ascii="Arial" w:hAnsi="Arial"/>
          <w:sz w:val="22"/>
          <w:lang w:eastAsia="en-US"/>
        </w:rPr>
      </w:pPr>
      <w:r>
        <w:rPr>
          <w:rFonts w:ascii="Arial" w:hAnsi="Arial"/>
          <w:sz w:val="22"/>
          <w:lang w:eastAsia="en-US"/>
        </w:rPr>
        <w:t xml:space="preserve">We were also pleased to launch our new pilot </w:t>
      </w:r>
      <w:hyperlink r:id="rId12" w:history="1">
        <w:r w:rsidRPr="00E91148">
          <w:rPr>
            <w:rStyle w:val="Hyperlink"/>
            <w:sz w:val="22"/>
            <w:lang w:eastAsia="en-US"/>
          </w:rPr>
          <w:t>Equity and Diversity List</w:t>
        </w:r>
      </w:hyperlink>
      <w:r>
        <w:rPr>
          <w:rFonts w:ascii="Arial" w:hAnsi="Arial"/>
          <w:sz w:val="22"/>
          <w:lang w:eastAsia="en-US"/>
        </w:rPr>
        <w:t xml:space="preserve"> which is aimed at supporting equitable briefings. It is </w:t>
      </w:r>
      <w:r w:rsidR="00BF7468">
        <w:rPr>
          <w:rFonts w:ascii="Arial" w:hAnsi="Arial"/>
          <w:sz w:val="22"/>
          <w:lang w:eastAsia="en-US"/>
        </w:rPr>
        <w:t>anticipated that this List</w:t>
      </w:r>
      <w:r>
        <w:rPr>
          <w:rFonts w:ascii="Arial" w:hAnsi="Arial"/>
          <w:sz w:val="22"/>
          <w:lang w:eastAsia="en-US"/>
        </w:rPr>
        <w:t xml:space="preserve"> will </w:t>
      </w:r>
      <w:r w:rsidR="00BF7468">
        <w:rPr>
          <w:rFonts w:ascii="Arial" w:hAnsi="Arial"/>
          <w:sz w:val="22"/>
          <w:lang w:eastAsia="en-US"/>
        </w:rPr>
        <w:t>assist</w:t>
      </w:r>
      <w:r w:rsidR="00BF7468" w:rsidRPr="00DA073A">
        <w:rPr>
          <w:rFonts w:ascii="Arial" w:hAnsi="Arial"/>
          <w:sz w:val="22"/>
          <w:lang w:eastAsia="en-US"/>
        </w:rPr>
        <w:t xml:space="preserve"> </w:t>
      </w:r>
      <w:r w:rsidRPr="00DA073A">
        <w:rPr>
          <w:rFonts w:ascii="Arial" w:hAnsi="Arial"/>
          <w:sz w:val="22"/>
          <w:lang w:eastAsia="en-US"/>
        </w:rPr>
        <w:t>lawyers find and brief diverse counsel for legally aided matters.</w:t>
      </w:r>
      <w:r>
        <w:rPr>
          <w:rFonts w:ascii="Arial" w:hAnsi="Arial"/>
          <w:sz w:val="22"/>
          <w:lang w:eastAsia="en-US"/>
        </w:rPr>
        <w:t xml:space="preserve"> The development of the List is part of our </w:t>
      </w:r>
      <w:r w:rsidRPr="00E91148">
        <w:rPr>
          <w:rFonts w:ascii="Arial" w:hAnsi="Arial"/>
          <w:sz w:val="22"/>
          <w:lang w:eastAsia="en-US"/>
        </w:rPr>
        <w:t>Equitable Briefing Strategy</w:t>
      </w:r>
      <w:r>
        <w:rPr>
          <w:rFonts w:ascii="Arial" w:hAnsi="Arial"/>
          <w:sz w:val="22"/>
          <w:lang w:eastAsia="en-US"/>
        </w:rPr>
        <w:t xml:space="preserve">, which is </w:t>
      </w:r>
      <w:r w:rsidRPr="00D46600">
        <w:rPr>
          <w:rFonts w:ascii="Arial" w:hAnsi="Arial"/>
          <w:sz w:val="22"/>
          <w:lang w:eastAsia="en-US"/>
        </w:rPr>
        <w:t>underpinned by our commitment to fairness, diversity and inclusion.</w:t>
      </w:r>
      <w:r w:rsidR="005A77EA">
        <w:rPr>
          <w:rFonts w:ascii="Arial" w:hAnsi="Arial"/>
          <w:sz w:val="22"/>
          <w:lang w:eastAsia="en-US"/>
        </w:rPr>
        <w:t xml:space="preserve"> </w:t>
      </w:r>
      <w:r w:rsidR="001261EC">
        <w:rPr>
          <w:rFonts w:ascii="Arial" w:hAnsi="Arial"/>
          <w:sz w:val="22"/>
          <w:lang w:eastAsia="en-US"/>
        </w:rPr>
        <w:t xml:space="preserve">The </w:t>
      </w:r>
      <w:r w:rsidR="00791C6A">
        <w:rPr>
          <w:rFonts w:ascii="Arial" w:hAnsi="Arial"/>
          <w:sz w:val="22"/>
          <w:lang w:eastAsia="en-US"/>
        </w:rPr>
        <w:t xml:space="preserve">pilot was supported by the Chief Justice of the Supreme Court of Victoria and has been well received by the legal profession in general. </w:t>
      </w:r>
    </w:p>
    <w:p w14:paraId="0716E3BE" w14:textId="6BB97357" w:rsidR="00A46A91" w:rsidRDefault="00A46A91" w:rsidP="00481FB3">
      <w:pPr>
        <w:spacing w:before="120"/>
      </w:pPr>
      <w:r>
        <w:t xml:space="preserve">In March, we were joined by our legal sector partners to officially </w:t>
      </w:r>
      <w:r w:rsidR="00403D65">
        <w:t xml:space="preserve">open </w:t>
      </w:r>
      <w:r>
        <w:t xml:space="preserve">our newly relocated office in Sunshine. The new office has already become a hub for collaboration with our sector partners. The relocation is part of our broader plan to </w:t>
      </w:r>
      <w:r w:rsidR="001E3078">
        <w:t xml:space="preserve">support </w:t>
      </w:r>
      <w:r>
        <w:t xml:space="preserve">our regional offices </w:t>
      </w:r>
      <w:r w:rsidR="001E3078">
        <w:t>with modern</w:t>
      </w:r>
      <w:r>
        <w:t xml:space="preserve">, safe, and accessible workplaces. It also comes as work on the Wyndham Law Courts continues, which will service the western growth corridor. </w:t>
      </w:r>
    </w:p>
    <w:p w14:paraId="142B91BF" w14:textId="52E664E4" w:rsidR="00A46A91" w:rsidRDefault="00A46A91" w:rsidP="00481FB3">
      <w:pPr>
        <w:pStyle w:val="NormalWeb"/>
        <w:spacing w:before="120" w:beforeAutospacing="0" w:after="120" w:afterAutospacing="0" w:line="276" w:lineRule="auto"/>
        <w:rPr>
          <w:rFonts w:ascii="Arial" w:hAnsi="Arial"/>
          <w:sz w:val="22"/>
          <w:lang w:eastAsia="en-US"/>
        </w:rPr>
      </w:pPr>
      <w:r w:rsidRPr="00D46600">
        <w:rPr>
          <w:rFonts w:ascii="Arial" w:hAnsi="Arial"/>
          <w:sz w:val="22"/>
          <w:lang w:eastAsia="en-US"/>
        </w:rPr>
        <w:t>We acknowledge the government</w:t>
      </w:r>
      <w:r>
        <w:rPr>
          <w:rFonts w:ascii="Arial" w:hAnsi="Arial"/>
          <w:sz w:val="22"/>
          <w:lang w:eastAsia="en-US"/>
        </w:rPr>
        <w:t xml:space="preserve">’s </w:t>
      </w:r>
      <w:r w:rsidR="001C3BEC">
        <w:rPr>
          <w:rFonts w:ascii="Arial" w:hAnsi="Arial"/>
          <w:sz w:val="22"/>
          <w:lang w:eastAsia="en-US"/>
        </w:rPr>
        <w:t>response</w:t>
      </w:r>
      <w:r>
        <w:rPr>
          <w:rFonts w:ascii="Arial" w:hAnsi="Arial"/>
          <w:sz w:val="22"/>
          <w:lang w:eastAsia="en-US"/>
        </w:rPr>
        <w:t xml:space="preserve"> </w:t>
      </w:r>
      <w:r w:rsidR="001C3BEC">
        <w:rPr>
          <w:rFonts w:ascii="Arial" w:hAnsi="Arial"/>
          <w:sz w:val="22"/>
          <w:lang w:eastAsia="en-US"/>
        </w:rPr>
        <w:t>to</w:t>
      </w:r>
      <w:r>
        <w:rPr>
          <w:rFonts w:ascii="Arial" w:hAnsi="Arial"/>
          <w:sz w:val="22"/>
          <w:lang w:eastAsia="en-US"/>
        </w:rPr>
        <w:t xml:space="preserve"> </w:t>
      </w:r>
      <w:r w:rsidRPr="00D46600">
        <w:rPr>
          <w:rFonts w:ascii="Arial" w:hAnsi="Arial"/>
          <w:sz w:val="22"/>
          <w:lang w:eastAsia="en-US"/>
        </w:rPr>
        <w:t xml:space="preserve">the landmark </w:t>
      </w:r>
      <w:bookmarkStart w:id="1" w:name="_Hlk166492907"/>
      <w:r w:rsidR="0021652E">
        <w:fldChar w:fldCharType="begin"/>
      </w:r>
      <w:r w:rsidR="0021652E">
        <w:instrText>HYPERLINK "https://yoorrookforjustice.org.au/"</w:instrText>
      </w:r>
      <w:r w:rsidR="0021652E">
        <w:fldChar w:fldCharType="separate"/>
      </w:r>
      <w:r w:rsidRPr="00D46600">
        <w:rPr>
          <w:rStyle w:val="Hyperlink"/>
          <w:sz w:val="22"/>
          <w:lang w:eastAsia="en-US"/>
        </w:rPr>
        <w:t>Yoorrook for Justice report</w:t>
      </w:r>
      <w:r w:rsidR="0021652E">
        <w:rPr>
          <w:rStyle w:val="Hyperlink"/>
          <w:sz w:val="22"/>
          <w:lang w:eastAsia="en-US"/>
        </w:rPr>
        <w:fldChar w:fldCharType="end"/>
      </w:r>
      <w:bookmarkEnd w:id="1"/>
      <w:r w:rsidRPr="00DE51A7">
        <w:rPr>
          <w:rFonts w:ascii="Arial" w:hAnsi="Arial"/>
          <w:sz w:val="22"/>
          <w:lang w:eastAsia="en-US"/>
        </w:rPr>
        <w:t xml:space="preserve">. </w:t>
      </w:r>
      <w:r w:rsidR="00620DF7" w:rsidRPr="00620DF7">
        <w:rPr>
          <w:rFonts w:ascii="Arial" w:hAnsi="Arial" w:cs="Arial"/>
          <w:sz w:val="22"/>
          <w:szCs w:val="22"/>
        </w:rPr>
        <w:t>We are disappointed that</w:t>
      </w:r>
      <w:r w:rsidR="006F67D0">
        <w:rPr>
          <w:rFonts w:ascii="Arial" w:hAnsi="Arial" w:cs="Arial"/>
          <w:sz w:val="22"/>
          <w:szCs w:val="22"/>
        </w:rPr>
        <w:t xml:space="preserve"> </w:t>
      </w:r>
      <w:r w:rsidR="00620DF7" w:rsidRPr="00620DF7">
        <w:rPr>
          <w:rFonts w:ascii="Arial" w:hAnsi="Arial" w:cs="Arial"/>
          <w:sz w:val="22"/>
          <w:szCs w:val="22"/>
        </w:rPr>
        <w:t xml:space="preserve">the government has </w:t>
      </w:r>
      <w:r w:rsidR="00BF7468">
        <w:rPr>
          <w:rFonts w:ascii="Arial" w:hAnsi="Arial" w:cs="Arial"/>
          <w:sz w:val="22"/>
          <w:szCs w:val="22"/>
        </w:rPr>
        <w:t>not supported</w:t>
      </w:r>
      <w:r w:rsidR="00BF7468" w:rsidRPr="00620DF7">
        <w:rPr>
          <w:rFonts w:ascii="Arial" w:hAnsi="Arial" w:cs="Arial"/>
          <w:sz w:val="22"/>
          <w:szCs w:val="22"/>
        </w:rPr>
        <w:t xml:space="preserve"> </w:t>
      </w:r>
      <w:r w:rsidR="00620DF7" w:rsidRPr="00620DF7">
        <w:rPr>
          <w:rFonts w:ascii="Arial" w:hAnsi="Arial" w:cs="Arial"/>
          <w:sz w:val="22"/>
          <w:szCs w:val="22"/>
        </w:rPr>
        <w:t xml:space="preserve">three key recommendations for meaningful reform and failed to provide a more comprehensive response to act on others. </w:t>
      </w:r>
      <w:r w:rsidRPr="00DE51A7">
        <w:rPr>
          <w:rFonts w:ascii="Arial" w:hAnsi="Arial"/>
          <w:sz w:val="22"/>
          <w:lang w:eastAsia="en-US"/>
        </w:rPr>
        <w:t>We are committed to working with First Nations communities, Aboriginal community-controlled organisations</w:t>
      </w:r>
      <w:r>
        <w:rPr>
          <w:rFonts w:ascii="Arial" w:hAnsi="Arial"/>
          <w:sz w:val="22"/>
          <w:lang w:eastAsia="en-US"/>
        </w:rPr>
        <w:t xml:space="preserve">, </w:t>
      </w:r>
      <w:r w:rsidRPr="00DE51A7">
        <w:rPr>
          <w:rFonts w:ascii="Arial" w:hAnsi="Arial"/>
          <w:sz w:val="22"/>
          <w:lang w:eastAsia="en-US"/>
        </w:rPr>
        <w:t xml:space="preserve">and </w:t>
      </w:r>
      <w:r>
        <w:rPr>
          <w:rFonts w:ascii="Arial" w:hAnsi="Arial"/>
          <w:sz w:val="22"/>
          <w:lang w:eastAsia="en-US"/>
        </w:rPr>
        <w:t xml:space="preserve">the </w:t>
      </w:r>
      <w:r w:rsidRPr="00DE51A7">
        <w:rPr>
          <w:rFonts w:ascii="Arial" w:hAnsi="Arial"/>
          <w:sz w:val="22"/>
          <w:lang w:eastAsia="en-US"/>
        </w:rPr>
        <w:t>government to</w:t>
      </w:r>
      <w:r>
        <w:rPr>
          <w:rFonts w:ascii="Arial" w:hAnsi="Arial"/>
          <w:sz w:val="22"/>
          <w:lang w:eastAsia="en-US"/>
        </w:rPr>
        <w:t xml:space="preserve"> </w:t>
      </w:r>
      <w:r w:rsidRPr="00DE51A7">
        <w:rPr>
          <w:rFonts w:ascii="Arial" w:hAnsi="Arial"/>
          <w:sz w:val="22"/>
          <w:lang w:eastAsia="en-US"/>
        </w:rPr>
        <w:t xml:space="preserve">address the </w:t>
      </w:r>
      <w:r>
        <w:rPr>
          <w:rFonts w:ascii="Arial" w:hAnsi="Arial"/>
          <w:sz w:val="22"/>
          <w:lang w:eastAsia="en-US"/>
        </w:rPr>
        <w:t xml:space="preserve">report </w:t>
      </w:r>
      <w:r w:rsidRPr="00DE51A7">
        <w:rPr>
          <w:rFonts w:ascii="Arial" w:hAnsi="Arial"/>
          <w:sz w:val="22"/>
          <w:lang w:eastAsia="en-US"/>
        </w:rPr>
        <w:t>recommendations to bring about transformative change.</w:t>
      </w:r>
    </w:p>
    <w:p w14:paraId="79443676" w14:textId="627CA1D6" w:rsidR="00620DF7" w:rsidRPr="00620DF7" w:rsidRDefault="000D423D" w:rsidP="004D2B4E">
      <w:pPr>
        <w:pStyle w:val="NormalWeb"/>
        <w:spacing w:before="120" w:beforeAutospacing="0" w:after="120" w:afterAutospacing="0" w:line="276" w:lineRule="auto"/>
        <w:rPr>
          <w:rFonts w:ascii="Arial" w:hAnsi="Arial"/>
          <w:sz w:val="22"/>
          <w:lang w:eastAsia="en-US"/>
        </w:rPr>
      </w:pPr>
      <w:r>
        <w:rPr>
          <w:rFonts w:ascii="Arial" w:hAnsi="Arial"/>
          <w:sz w:val="22"/>
          <w:lang w:eastAsia="en-US"/>
        </w:rPr>
        <w:t xml:space="preserve">The final report of the </w:t>
      </w:r>
      <w:r w:rsidR="005A78C4" w:rsidRPr="00620DF7">
        <w:rPr>
          <w:rFonts w:ascii="Arial" w:hAnsi="Arial" w:cs="Arial"/>
          <w:sz w:val="22"/>
          <w:szCs w:val="22"/>
        </w:rPr>
        <w:t>independent</w:t>
      </w:r>
      <w:r w:rsidR="005A78C4" w:rsidRPr="00620DF7">
        <w:t xml:space="preserve"> </w:t>
      </w:r>
      <w:hyperlink r:id="rId13" w:history="1">
        <w:r w:rsidRPr="000D423D">
          <w:rPr>
            <w:rStyle w:val="Hyperlink"/>
            <w:sz w:val="22"/>
            <w:lang w:eastAsia="en-US"/>
          </w:rPr>
          <w:t>R</w:t>
        </w:r>
        <w:r w:rsidR="005A78C4" w:rsidRPr="000D423D">
          <w:rPr>
            <w:rStyle w:val="Hyperlink"/>
            <w:sz w:val="22"/>
            <w:lang w:eastAsia="en-US"/>
          </w:rPr>
          <w:t>eview</w:t>
        </w:r>
      </w:hyperlink>
      <w:r>
        <w:rPr>
          <w:rFonts w:ascii="Arial" w:hAnsi="Arial"/>
          <w:sz w:val="22"/>
          <w:lang w:eastAsia="en-US"/>
        </w:rPr>
        <w:t xml:space="preserve"> of the National Legal Assistance Partnership (NLAP)</w:t>
      </w:r>
      <w:r>
        <w:rPr>
          <w:rStyle w:val="Hyperlink"/>
          <w:color w:val="auto"/>
          <w:sz w:val="22"/>
          <w:u w:val="none"/>
          <w:lang w:eastAsia="en-US"/>
        </w:rPr>
        <w:t xml:space="preserve"> </w:t>
      </w:r>
      <w:r w:rsidR="00A673B9" w:rsidRPr="00620DF7">
        <w:rPr>
          <w:rStyle w:val="Hyperlink"/>
          <w:color w:val="auto"/>
          <w:sz w:val="22"/>
          <w:u w:val="none"/>
          <w:lang w:eastAsia="en-US"/>
        </w:rPr>
        <w:t>by Dr Mundy has</w:t>
      </w:r>
      <w:r w:rsidR="00FC401A">
        <w:rPr>
          <w:rStyle w:val="Hyperlink"/>
          <w:color w:val="auto"/>
          <w:sz w:val="22"/>
          <w:u w:val="none"/>
          <w:lang w:eastAsia="en-US"/>
        </w:rPr>
        <w:t xml:space="preserve"> now</w:t>
      </w:r>
      <w:r w:rsidR="00A673B9" w:rsidRPr="00620DF7">
        <w:rPr>
          <w:rStyle w:val="Hyperlink"/>
          <w:color w:val="auto"/>
          <w:sz w:val="22"/>
          <w:u w:val="none"/>
          <w:lang w:eastAsia="en-US"/>
        </w:rPr>
        <w:t xml:space="preserve"> been </w:t>
      </w:r>
      <w:r w:rsidR="00B14666" w:rsidRPr="00620DF7">
        <w:rPr>
          <w:rStyle w:val="Hyperlink"/>
          <w:color w:val="auto"/>
          <w:sz w:val="22"/>
          <w:u w:val="none"/>
          <w:lang w:eastAsia="en-US"/>
        </w:rPr>
        <w:t xml:space="preserve">provided to </w:t>
      </w:r>
      <w:r w:rsidR="006F67D0">
        <w:rPr>
          <w:rStyle w:val="Hyperlink"/>
          <w:color w:val="auto"/>
          <w:sz w:val="22"/>
          <w:u w:val="none"/>
          <w:lang w:eastAsia="en-US"/>
        </w:rPr>
        <w:t>G</w:t>
      </w:r>
      <w:r w:rsidR="00B14666" w:rsidRPr="00620DF7">
        <w:rPr>
          <w:rStyle w:val="Hyperlink"/>
          <w:color w:val="auto"/>
          <w:sz w:val="22"/>
          <w:u w:val="none"/>
          <w:lang w:eastAsia="en-US"/>
        </w:rPr>
        <w:t>overnment.</w:t>
      </w:r>
      <w:r w:rsidR="00A46A91" w:rsidRPr="008E11A2">
        <w:rPr>
          <w:rFonts w:ascii="Arial" w:hAnsi="Arial"/>
          <w:sz w:val="22"/>
          <w:lang w:eastAsia="en-US"/>
        </w:rPr>
        <w:t xml:space="preserve"> </w:t>
      </w:r>
      <w:r>
        <w:rPr>
          <w:rFonts w:ascii="Arial" w:hAnsi="Arial"/>
          <w:sz w:val="22"/>
          <w:lang w:eastAsia="en-US"/>
        </w:rPr>
        <w:t xml:space="preserve">We await the </w:t>
      </w:r>
      <w:r w:rsidR="006F67D0">
        <w:rPr>
          <w:rFonts w:ascii="Arial" w:hAnsi="Arial"/>
          <w:sz w:val="22"/>
          <w:lang w:eastAsia="en-US"/>
        </w:rPr>
        <w:t>G</w:t>
      </w:r>
      <w:r>
        <w:rPr>
          <w:rFonts w:ascii="Arial" w:hAnsi="Arial"/>
          <w:sz w:val="22"/>
          <w:lang w:eastAsia="en-US"/>
        </w:rPr>
        <w:t>overnment</w:t>
      </w:r>
      <w:r w:rsidR="006F67D0">
        <w:rPr>
          <w:rFonts w:ascii="Arial" w:hAnsi="Arial"/>
          <w:sz w:val="22"/>
          <w:lang w:eastAsia="en-US"/>
        </w:rPr>
        <w:t>’</w:t>
      </w:r>
      <w:r>
        <w:rPr>
          <w:rFonts w:ascii="Arial" w:hAnsi="Arial"/>
          <w:sz w:val="22"/>
          <w:lang w:eastAsia="en-US"/>
        </w:rPr>
        <w:t xml:space="preserve">s formal response which is due </w:t>
      </w:r>
      <w:r w:rsidR="00FC401A">
        <w:rPr>
          <w:rFonts w:ascii="Arial" w:hAnsi="Arial"/>
          <w:sz w:val="22"/>
          <w:lang w:eastAsia="en-US"/>
        </w:rPr>
        <w:t>by early June</w:t>
      </w:r>
      <w:r>
        <w:rPr>
          <w:rFonts w:ascii="Arial" w:hAnsi="Arial"/>
          <w:sz w:val="22"/>
          <w:lang w:eastAsia="en-US"/>
        </w:rPr>
        <w:t xml:space="preserve">. With the </w:t>
      </w:r>
      <w:r w:rsidRPr="003C0949">
        <w:rPr>
          <w:rFonts w:ascii="Arial" w:hAnsi="Arial"/>
          <w:sz w:val="22"/>
          <w:lang w:eastAsia="en-US"/>
        </w:rPr>
        <w:t xml:space="preserve">current </w:t>
      </w:r>
      <w:r w:rsidR="006F67D0">
        <w:rPr>
          <w:rFonts w:ascii="Arial" w:hAnsi="Arial"/>
          <w:sz w:val="22"/>
          <w:lang w:eastAsia="en-US"/>
        </w:rPr>
        <w:t>NLAP</w:t>
      </w:r>
      <w:r w:rsidR="001261EC">
        <w:rPr>
          <w:rFonts w:ascii="Arial" w:hAnsi="Arial"/>
          <w:sz w:val="22"/>
          <w:lang w:eastAsia="en-US"/>
        </w:rPr>
        <w:t xml:space="preserve"> </w:t>
      </w:r>
      <w:r w:rsidR="00BF7468">
        <w:rPr>
          <w:rFonts w:ascii="Arial" w:hAnsi="Arial"/>
          <w:sz w:val="22"/>
          <w:lang w:eastAsia="en-US"/>
        </w:rPr>
        <w:t>agreement</w:t>
      </w:r>
      <w:r w:rsidRPr="003C0949">
        <w:rPr>
          <w:rFonts w:ascii="Arial" w:hAnsi="Arial"/>
          <w:sz w:val="22"/>
          <w:lang w:eastAsia="en-US"/>
        </w:rPr>
        <w:t xml:space="preserve"> due to expire </w:t>
      </w:r>
      <w:r>
        <w:rPr>
          <w:rFonts w:ascii="Arial" w:hAnsi="Arial"/>
          <w:sz w:val="22"/>
          <w:lang w:eastAsia="en-US"/>
        </w:rPr>
        <w:t xml:space="preserve">next year, </w:t>
      </w:r>
      <w:r w:rsidR="00A46A91">
        <w:rPr>
          <w:rFonts w:ascii="Arial" w:hAnsi="Arial"/>
          <w:sz w:val="22"/>
          <w:lang w:eastAsia="en-US"/>
        </w:rPr>
        <w:t xml:space="preserve">we </w:t>
      </w:r>
      <w:r w:rsidR="00E75B23">
        <w:rPr>
          <w:rFonts w:ascii="Arial" w:hAnsi="Arial"/>
          <w:sz w:val="22"/>
          <w:lang w:eastAsia="en-US"/>
        </w:rPr>
        <w:t xml:space="preserve">continue our advocacy on much needed reforms and investment from the federal government </w:t>
      </w:r>
      <w:r w:rsidR="00EA7F02">
        <w:rPr>
          <w:rFonts w:ascii="Arial" w:hAnsi="Arial"/>
          <w:sz w:val="22"/>
          <w:lang w:eastAsia="en-US"/>
        </w:rPr>
        <w:t>i</w:t>
      </w:r>
      <w:r w:rsidR="00E75B23">
        <w:rPr>
          <w:rFonts w:ascii="Arial" w:hAnsi="Arial"/>
          <w:sz w:val="22"/>
          <w:lang w:eastAsia="en-US"/>
        </w:rPr>
        <w:t>n</w:t>
      </w:r>
      <w:r w:rsidR="00EA7F02">
        <w:rPr>
          <w:rFonts w:ascii="Arial" w:hAnsi="Arial"/>
          <w:sz w:val="22"/>
          <w:lang w:eastAsia="en-US"/>
        </w:rPr>
        <w:t xml:space="preserve"> </w:t>
      </w:r>
      <w:r w:rsidR="00E75B23">
        <w:rPr>
          <w:rFonts w:ascii="Arial" w:hAnsi="Arial"/>
          <w:sz w:val="22"/>
          <w:lang w:eastAsia="en-US"/>
        </w:rPr>
        <w:t>family law, family violence and civil law services.</w:t>
      </w:r>
      <w:r w:rsidR="00620DF7">
        <w:rPr>
          <w:rFonts w:ascii="Arial" w:hAnsi="Arial"/>
          <w:sz w:val="22"/>
          <w:lang w:eastAsia="en-US"/>
        </w:rPr>
        <w:t xml:space="preserve"> </w:t>
      </w:r>
      <w:r w:rsidR="00163CC3">
        <w:rPr>
          <w:rFonts w:ascii="Arial" w:hAnsi="Arial"/>
          <w:sz w:val="22"/>
          <w:lang w:eastAsia="en-US"/>
        </w:rPr>
        <w:t>Our</w:t>
      </w:r>
      <w:r w:rsidR="005A77EA">
        <w:rPr>
          <w:rFonts w:ascii="Arial" w:hAnsi="Arial"/>
          <w:sz w:val="22"/>
          <w:lang w:eastAsia="en-US"/>
        </w:rPr>
        <w:t xml:space="preserve"> </w:t>
      </w:r>
      <w:r w:rsidR="00163CC3">
        <w:rPr>
          <w:rFonts w:ascii="Arial" w:hAnsi="Arial"/>
          <w:sz w:val="22"/>
          <w:lang w:eastAsia="en-US"/>
        </w:rPr>
        <w:t>current data indicates that 13 per cent of the population live below the poverty line and only 8 per cent qualify for legal aid.</w:t>
      </w:r>
      <w:r w:rsidR="00620DF7">
        <w:rPr>
          <w:rFonts w:ascii="Arial" w:hAnsi="Arial"/>
          <w:sz w:val="22"/>
          <w:lang w:eastAsia="en-US"/>
        </w:rPr>
        <w:t xml:space="preserve"> </w:t>
      </w:r>
      <w:r w:rsidR="007E623C" w:rsidRPr="007F40B6">
        <w:rPr>
          <w:rFonts w:ascii="Arial" w:hAnsi="Arial"/>
          <w:sz w:val="22"/>
          <w:lang w:eastAsia="en-US"/>
        </w:rPr>
        <w:t xml:space="preserve">A </w:t>
      </w:r>
      <w:r w:rsidR="00A0070E">
        <w:rPr>
          <w:rFonts w:ascii="Arial" w:hAnsi="Arial"/>
          <w:sz w:val="22"/>
          <w:lang w:eastAsia="en-US"/>
        </w:rPr>
        <w:t>demand based</w:t>
      </w:r>
      <w:r w:rsidR="00A0070E" w:rsidRPr="007F40B6">
        <w:rPr>
          <w:rFonts w:ascii="Arial" w:hAnsi="Arial"/>
          <w:sz w:val="22"/>
          <w:lang w:eastAsia="en-US"/>
        </w:rPr>
        <w:t xml:space="preserve"> </w:t>
      </w:r>
      <w:r w:rsidR="007E623C" w:rsidRPr="007F40B6">
        <w:rPr>
          <w:rFonts w:ascii="Arial" w:hAnsi="Arial"/>
          <w:sz w:val="22"/>
          <w:lang w:eastAsia="en-US"/>
        </w:rPr>
        <w:t xml:space="preserve">funded legal assistance sector would help deliver on the Commonwealth Government's commitment to women's </w:t>
      </w:r>
      <w:r w:rsidR="00B14666">
        <w:rPr>
          <w:rFonts w:ascii="Arial" w:hAnsi="Arial"/>
          <w:sz w:val="22"/>
          <w:lang w:eastAsia="en-US"/>
        </w:rPr>
        <w:t xml:space="preserve">safety, </w:t>
      </w:r>
      <w:r w:rsidR="007E623C" w:rsidRPr="007F40B6">
        <w:rPr>
          <w:rFonts w:ascii="Arial" w:hAnsi="Arial"/>
          <w:sz w:val="22"/>
          <w:lang w:eastAsia="en-US"/>
        </w:rPr>
        <w:t>equality</w:t>
      </w:r>
      <w:r w:rsidR="00B14666">
        <w:rPr>
          <w:rFonts w:ascii="Arial" w:hAnsi="Arial"/>
          <w:sz w:val="22"/>
          <w:lang w:eastAsia="en-US"/>
        </w:rPr>
        <w:t>,</w:t>
      </w:r>
      <w:r w:rsidR="00620DF7">
        <w:rPr>
          <w:rFonts w:ascii="Arial" w:hAnsi="Arial"/>
          <w:sz w:val="22"/>
          <w:lang w:eastAsia="en-US"/>
        </w:rPr>
        <w:t xml:space="preserve"> </w:t>
      </w:r>
      <w:r w:rsidR="00B14666">
        <w:rPr>
          <w:rFonts w:ascii="Arial" w:hAnsi="Arial"/>
          <w:sz w:val="22"/>
          <w:lang w:eastAsia="en-US"/>
        </w:rPr>
        <w:t>and economic security</w:t>
      </w:r>
      <w:r w:rsidR="007E623C" w:rsidRPr="007F40B6">
        <w:rPr>
          <w:rFonts w:ascii="Arial" w:hAnsi="Arial"/>
          <w:sz w:val="22"/>
          <w:lang w:eastAsia="en-US"/>
        </w:rPr>
        <w:t>.</w:t>
      </w:r>
      <w:r w:rsidR="00163CC3">
        <w:rPr>
          <w:rFonts w:ascii="Arial" w:hAnsi="Arial"/>
          <w:sz w:val="22"/>
          <w:lang w:eastAsia="en-US"/>
        </w:rPr>
        <w:t xml:space="preserve"> </w:t>
      </w:r>
    </w:p>
    <w:bookmarkEnd w:id="0"/>
    <w:p w14:paraId="486A4091" w14:textId="67EFD515" w:rsidR="00B22546" w:rsidRDefault="00481FB3" w:rsidP="004D2B4E">
      <w:pPr>
        <w:spacing w:before="840"/>
      </w:pPr>
      <w:r>
        <w:rPr>
          <w:b/>
          <w:bCs/>
        </w:rPr>
        <w:t>LOUISE GLANVILLE</w:t>
      </w:r>
      <w:r w:rsidR="00D876AB" w:rsidRPr="00D67354">
        <w:br/>
        <w:t>Chief Executive Officer</w:t>
      </w:r>
    </w:p>
    <w:p w14:paraId="2F76DF75" w14:textId="682097E6" w:rsidR="00212B87" w:rsidRPr="004D2B4E" w:rsidRDefault="001E3078" w:rsidP="004D2B4E">
      <w:pPr>
        <w:pStyle w:val="Heading2"/>
      </w:pPr>
      <w:r>
        <w:br w:type="page"/>
      </w:r>
      <w:r w:rsidR="00212B87" w:rsidRPr="004D2B4E">
        <w:lastRenderedPageBreak/>
        <w:t xml:space="preserve">Client and </w:t>
      </w:r>
      <w:r w:rsidR="004D2B4E" w:rsidRPr="004D2B4E">
        <w:t>community services</w:t>
      </w:r>
    </w:p>
    <w:p w14:paraId="7E674CC3" w14:textId="1DCC72BD" w:rsidR="00212B87" w:rsidRDefault="00212B87" w:rsidP="00212B87">
      <w:r>
        <w:t xml:space="preserve">Our services are targeted to people facing disadvantage who have the greatest legal need. We tailor our services to people’s diverse needs and capabilities and recognise that many people experience barriers to accessing justice. We provide a mix of early intervention and preventative services, </w:t>
      </w:r>
      <w:r w:rsidR="00223BAF">
        <w:t xml:space="preserve">high intensity legal services, </w:t>
      </w:r>
      <w:r>
        <w:t>and non-legal specialist resolution and advocacy services.</w:t>
      </w:r>
    </w:p>
    <w:p w14:paraId="5BF8DD0F" w14:textId="711B55EC" w:rsidR="00212B87" w:rsidRPr="004D2B4E" w:rsidRDefault="00212B87" w:rsidP="004D2B4E">
      <w:pPr>
        <w:pStyle w:val="Heading2"/>
      </w:pPr>
      <w:r w:rsidRPr="004D2B4E">
        <w:t xml:space="preserve">Client </w:t>
      </w:r>
      <w:r w:rsidR="004D2B4E" w:rsidRPr="004D2B4E">
        <w:t>services</w:t>
      </w:r>
    </w:p>
    <w:p w14:paraId="75456AFA" w14:textId="1E0D004F" w:rsidR="00212B87" w:rsidRDefault="00212B87" w:rsidP="00212B87">
      <w:r>
        <w:t>In quarter three 2023–24, we saw 16,760 unique clients (Table 1.1). This is a 21 per-cent decrease from quarter two. Clients are only counted the first time they receive a legal assistance service in a financial year</w:t>
      </w:r>
      <w:r w:rsidR="00EE17E6">
        <w:t xml:space="preserve">. </w:t>
      </w:r>
      <w:r w:rsidR="008607BE">
        <w:t>Some clients may receive multiple</w:t>
      </w:r>
      <w:r>
        <w:t xml:space="preserve"> services in the same financial year</w:t>
      </w:r>
      <w:r w:rsidR="008607BE">
        <w:t xml:space="preserve"> and as a result</w:t>
      </w:r>
      <w:r>
        <w:t xml:space="preserve"> our unique client count decreases as the year progresses. </w:t>
      </w:r>
      <w:r w:rsidR="007648D4">
        <w:t xml:space="preserve">Each </w:t>
      </w:r>
      <w:r w:rsidR="001E3078">
        <w:t xml:space="preserve">client </w:t>
      </w:r>
      <w:r w:rsidR="007648D4">
        <w:t xml:space="preserve">is </w:t>
      </w:r>
      <w:r w:rsidR="001E3078">
        <w:t xml:space="preserve">now averaging </w:t>
      </w:r>
      <w:r w:rsidR="007648D4">
        <w:t xml:space="preserve">two </w:t>
      </w:r>
      <w:r w:rsidR="001E3078">
        <w:t>services</w:t>
      </w:r>
      <w:r w:rsidR="007648D4">
        <w:t xml:space="preserve">, which is </w:t>
      </w:r>
      <w:r>
        <w:t xml:space="preserve">higher than the same time last financial year. </w:t>
      </w:r>
    </w:p>
    <w:p w14:paraId="0325F38F" w14:textId="7EE0E938" w:rsidR="00212B87" w:rsidRDefault="00212B87" w:rsidP="00212B87">
      <w:r>
        <w:t>There was a 14 per-cent decrease in the number of Duty Lawyer Services in quarter three compared to the previous quarter</w:t>
      </w:r>
      <w:r w:rsidRPr="00427706">
        <w:t xml:space="preserve">. </w:t>
      </w:r>
      <w:r w:rsidR="007E216D">
        <w:t>I</w:t>
      </w:r>
      <w:r>
        <w:t xml:space="preserve">n quarter two 2023-24 we made some interim </w:t>
      </w:r>
      <w:r w:rsidRPr="00427706">
        <w:t xml:space="preserve">adjustments to the reported </w:t>
      </w:r>
      <w:r>
        <w:t>D</w:t>
      </w:r>
      <w:r w:rsidRPr="00427706">
        <w:t xml:space="preserve">uty </w:t>
      </w:r>
      <w:r>
        <w:t>L</w:t>
      </w:r>
      <w:r w:rsidRPr="00427706">
        <w:t xml:space="preserve">awyer </w:t>
      </w:r>
      <w:r>
        <w:t>S</w:t>
      </w:r>
      <w:r w:rsidRPr="00427706">
        <w:t>ervices</w:t>
      </w:r>
      <w:r>
        <w:t xml:space="preserve"> to address </w:t>
      </w:r>
      <w:r w:rsidRPr="00576039">
        <w:t>underreporting of our services</w:t>
      </w:r>
      <w:r w:rsidR="008607BE">
        <w:t xml:space="preserve"> in the first half of the year</w:t>
      </w:r>
      <w:r>
        <w:t xml:space="preserve">. </w:t>
      </w:r>
      <w:r w:rsidR="007E216D">
        <w:t xml:space="preserve">This </w:t>
      </w:r>
      <w:r>
        <w:t xml:space="preserve">underreporting </w:t>
      </w:r>
      <w:r w:rsidR="007E216D">
        <w:t xml:space="preserve">was </w:t>
      </w:r>
      <w:r>
        <w:t xml:space="preserve">due to </w:t>
      </w:r>
      <w:r w:rsidRPr="000C52AD">
        <w:t>inconsistencies with how we collect data during the transition from our legacy systems, which we continue to</w:t>
      </w:r>
      <w:r>
        <w:t xml:space="preserve"> address</w:t>
      </w:r>
      <w:r w:rsidRPr="000C52AD">
        <w:t>.</w:t>
      </w:r>
      <w:r>
        <w:t xml:space="preserve">  </w:t>
      </w:r>
    </w:p>
    <w:p w14:paraId="61FD5671" w14:textId="1090FFB2" w:rsidR="00212B87" w:rsidRPr="001A674B" w:rsidRDefault="00212B87" w:rsidP="00212B87">
      <w:r>
        <w:t>The number of Grants of Legal Assistance in quarter three was at a similar level with the previous quarter.</w:t>
      </w:r>
    </w:p>
    <w:p w14:paraId="4EEA0E4F" w14:textId="77777777" w:rsidR="00212B87" w:rsidRDefault="00212B87" w:rsidP="004D2B4E">
      <w:pPr>
        <w:pStyle w:val="Tableheader"/>
      </w:pPr>
      <w:r w:rsidRPr="00742E79">
        <w:t xml:space="preserve">Table 1.1 </w:t>
      </w:r>
      <w:bookmarkStart w:id="2" w:name="_Hlk147494133"/>
      <w:r w:rsidRPr="00742E79">
        <w:t>Unique client count</w:t>
      </w:r>
      <w:r>
        <w:t xml:space="preserve"> and services</w:t>
      </w:r>
      <w:bookmarkEnd w:id="2"/>
    </w:p>
    <w:tbl>
      <w:tblPr>
        <w:tblW w:w="9855" w:type="dxa"/>
        <w:tblLook w:val="04A0" w:firstRow="1" w:lastRow="0" w:firstColumn="1" w:lastColumn="0" w:noHBand="0" w:noVBand="1"/>
      </w:tblPr>
      <w:tblGrid>
        <w:gridCol w:w="4422"/>
        <w:gridCol w:w="1811"/>
        <w:gridCol w:w="1811"/>
        <w:gridCol w:w="1811"/>
      </w:tblGrid>
      <w:tr w:rsidR="00212B87" w:rsidRPr="003A7C01" w14:paraId="4E79EC1A" w14:textId="77777777" w:rsidTr="00417688">
        <w:trPr>
          <w:trHeight w:val="322"/>
        </w:trPr>
        <w:tc>
          <w:tcPr>
            <w:tcW w:w="4422" w:type="dxa"/>
            <w:vMerge w:val="restart"/>
            <w:tcBorders>
              <w:top w:val="single" w:sz="4" w:space="0" w:color="auto"/>
              <w:left w:val="single" w:sz="4" w:space="0" w:color="auto"/>
              <w:bottom w:val="single" w:sz="4" w:space="0" w:color="auto"/>
              <w:right w:val="single" w:sz="4" w:space="0" w:color="auto"/>
            </w:tcBorders>
            <w:shd w:val="clear" w:color="000000" w:fill="B59CC0"/>
            <w:vAlign w:val="center"/>
            <w:hideMark/>
          </w:tcPr>
          <w:p w14:paraId="0433D4B4" w14:textId="77777777" w:rsidR="00212B87" w:rsidRPr="003A7C01" w:rsidRDefault="00212B87" w:rsidP="00417688">
            <w:pPr>
              <w:rPr>
                <w:rFonts w:cs="Arial"/>
                <w:b/>
                <w:bCs/>
                <w:color w:val="000000"/>
                <w:szCs w:val="22"/>
                <w:lang w:eastAsia="zh-CN" w:bidi="th-TH"/>
              </w:rPr>
            </w:pPr>
            <w:r w:rsidRPr="003A7C01">
              <w:rPr>
                <w:rFonts w:cs="Arial"/>
                <w:b/>
                <w:bCs/>
                <w:color w:val="000000"/>
                <w:szCs w:val="22"/>
                <w:lang w:eastAsia="zh-CN" w:bidi="th-TH"/>
              </w:rPr>
              <w:t>Clients and Client Services </w:t>
            </w:r>
          </w:p>
        </w:tc>
        <w:tc>
          <w:tcPr>
            <w:tcW w:w="1811" w:type="dxa"/>
            <w:tcBorders>
              <w:top w:val="single" w:sz="4" w:space="0" w:color="auto"/>
              <w:left w:val="single" w:sz="4" w:space="0" w:color="auto"/>
              <w:bottom w:val="nil"/>
              <w:right w:val="single" w:sz="4" w:space="0" w:color="auto"/>
            </w:tcBorders>
            <w:shd w:val="clear" w:color="000000" w:fill="B59CC0"/>
            <w:vAlign w:val="center"/>
            <w:hideMark/>
          </w:tcPr>
          <w:p w14:paraId="5373B55C" w14:textId="77777777" w:rsidR="00212B87" w:rsidRPr="003A7C01" w:rsidRDefault="00212B87"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Q2</w:t>
            </w:r>
          </w:p>
        </w:tc>
        <w:tc>
          <w:tcPr>
            <w:tcW w:w="1811" w:type="dxa"/>
            <w:tcBorders>
              <w:top w:val="single" w:sz="4" w:space="0" w:color="auto"/>
              <w:left w:val="nil"/>
              <w:bottom w:val="nil"/>
              <w:right w:val="single" w:sz="4" w:space="0" w:color="auto"/>
            </w:tcBorders>
            <w:shd w:val="clear" w:color="000000" w:fill="B59CC0"/>
            <w:vAlign w:val="center"/>
            <w:hideMark/>
          </w:tcPr>
          <w:p w14:paraId="19017E90" w14:textId="77777777" w:rsidR="00212B87" w:rsidRPr="003A7C01" w:rsidRDefault="00212B87"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Q3</w:t>
            </w:r>
          </w:p>
        </w:tc>
        <w:tc>
          <w:tcPr>
            <w:tcW w:w="1811" w:type="dxa"/>
            <w:tcBorders>
              <w:top w:val="single" w:sz="4" w:space="0" w:color="auto"/>
              <w:left w:val="nil"/>
              <w:bottom w:val="nil"/>
              <w:right w:val="single" w:sz="4" w:space="0" w:color="auto"/>
            </w:tcBorders>
            <w:shd w:val="clear" w:color="000000" w:fill="B59CC0"/>
            <w:vAlign w:val="center"/>
            <w:hideMark/>
          </w:tcPr>
          <w:p w14:paraId="6961229E" w14:textId="77777777" w:rsidR="00212B87" w:rsidRPr="003A7C01" w:rsidRDefault="00212B87"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Q4 2023-24</w:t>
            </w:r>
          </w:p>
        </w:tc>
      </w:tr>
      <w:tr w:rsidR="00212B87" w:rsidRPr="003A7C01" w14:paraId="1BFC2BEA" w14:textId="77777777" w:rsidTr="00417688">
        <w:trPr>
          <w:trHeight w:val="322"/>
        </w:trPr>
        <w:tc>
          <w:tcPr>
            <w:tcW w:w="4422" w:type="dxa"/>
            <w:vMerge/>
            <w:tcBorders>
              <w:top w:val="single" w:sz="4" w:space="0" w:color="auto"/>
              <w:left w:val="single" w:sz="4" w:space="0" w:color="auto"/>
              <w:bottom w:val="single" w:sz="4" w:space="0" w:color="auto"/>
              <w:right w:val="single" w:sz="4" w:space="0" w:color="auto"/>
            </w:tcBorders>
            <w:vAlign w:val="center"/>
            <w:hideMark/>
          </w:tcPr>
          <w:p w14:paraId="36638015" w14:textId="77777777" w:rsidR="00212B87" w:rsidRPr="003A7C01" w:rsidRDefault="00212B87" w:rsidP="00417688">
            <w:pPr>
              <w:spacing w:after="0" w:line="240" w:lineRule="auto"/>
              <w:rPr>
                <w:rFonts w:cs="Arial"/>
                <w:b/>
                <w:bCs/>
                <w:color w:val="000000"/>
                <w:szCs w:val="22"/>
                <w:lang w:eastAsia="zh-CN" w:bidi="th-TH"/>
              </w:rPr>
            </w:pPr>
          </w:p>
        </w:tc>
        <w:tc>
          <w:tcPr>
            <w:tcW w:w="1811" w:type="dxa"/>
            <w:tcBorders>
              <w:top w:val="nil"/>
              <w:left w:val="single" w:sz="4" w:space="0" w:color="auto"/>
              <w:bottom w:val="single" w:sz="4" w:space="0" w:color="auto"/>
              <w:right w:val="single" w:sz="4" w:space="0" w:color="auto"/>
            </w:tcBorders>
            <w:shd w:val="clear" w:color="000000" w:fill="B59CC0"/>
            <w:vAlign w:val="center"/>
            <w:hideMark/>
          </w:tcPr>
          <w:p w14:paraId="223568EB" w14:textId="77777777" w:rsidR="00212B87" w:rsidRPr="003A7C01" w:rsidRDefault="00212B87"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811" w:type="dxa"/>
            <w:tcBorders>
              <w:top w:val="nil"/>
              <w:left w:val="nil"/>
              <w:bottom w:val="single" w:sz="4" w:space="0" w:color="auto"/>
              <w:right w:val="single" w:sz="4" w:space="0" w:color="auto"/>
            </w:tcBorders>
            <w:shd w:val="clear" w:color="000000" w:fill="B59CC0"/>
            <w:vAlign w:val="center"/>
            <w:hideMark/>
          </w:tcPr>
          <w:p w14:paraId="7606B731" w14:textId="77777777" w:rsidR="00212B87" w:rsidRPr="003A7C01" w:rsidRDefault="00212B87"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811" w:type="dxa"/>
            <w:tcBorders>
              <w:top w:val="nil"/>
              <w:left w:val="nil"/>
              <w:bottom w:val="single" w:sz="4" w:space="0" w:color="auto"/>
              <w:right w:val="single" w:sz="4" w:space="0" w:color="auto"/>
            </w:tcBorders>
            <w:shd w:val="clear" w:color="000000" w:fill="B59CC0"/>
            <w:vAlign w:val="center"/>
            <w:hideMark/>
          </w:tcPr>
          <w:p w14:paraId="7AAEB900" w14:textId="77777777" w:rsidR="00212B87" w:rsidRPr="003A7C01" w:rsidRDefault="00212B87"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projection</w:t>
            </w:r>
          </w:p>
        </w:tc>
      </w:tr>
      <w:tr w:rsidR="00212B87" w:rsidRPr="003A7C01" w14:paraId="4F5BD51D" w14:textId="77777777" w:rsidTr="00417688">
        <w:trPr>
          <w:trHeight w:val="838"/>
        </w:trPr>
        <w:tc>
          <w:tcPr>
            <w:tcW w:w="4422" w:type="dxa"/>
            <w:tcBorders>
              <w:top w:val="nil"/>
              <w:left w:val="single" w:sz="4" w:space="0" w:color="auto"/>
              <w:bottom w:val="single" w:sz="4" w:space="0" w:color="auto"/>
              <w:right w:val="single" w:sz="4" w:space="0" w:color="auto"/>
            </w:tcBorders>
            <w:shd w:val="clear" w:color="auto" w:fill="auto"/>
            <w:vAlign w:val="center"/>
            <w:hideMark/>
          </w:tcPr>
          <w:p w14:paraId="342D6DAD" w14:textId="77777777" w:rsidR="00212B87" w:rsidRPr="003A7C01" w:rsidRDefault="00212B87" w:rsidP="00417688">
            <w:pPr>
              <w:spacing w:after="0" w:line="240" w:lineRule="auto"/>
              <w:rPr>
                <w:rFonts w:cs="Arial"/>
                <w:color w:val="000000"/>
                <w:szCs w:val="22"/>
                <w:lang w:eastAsia="zh-CN" w:bidi="th-TH"/>
              </w:rPr>
            </w:pPr>
            <w:r w:rsidRPr="003A7C01">
              <w:rPr>
                <w:rFonts w:cs="Arial"/>
                <w:color w:val="000000"/>
                <w:szCs w:val="22"/>
                <w:lang w:eastAsia="zh-CN" w:bidi="th-TH"/>
              </w:rPr>
              <w:t>Unique Clients</w:t>
            </w:r>
            <w:r w:rsidRPr="003A7C01">
              <w:rPr>
                <w:rFonts w:cs="Arial"/>
                <w:color w:val="000000"/>
                <w:szCs w:val="22"/>
                <w:vertAlign w:val="superscript"/>
                <w:lang w:eastAsia="zh-CN" w:bidi="th-TH"/>
              </w:rPr>
              <w:t xml:space="preserve">1 </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14:paraId="4DD54C21" w14:textId="77777777" w:rsidR="00212B87" w:rsidRPr="003A7C01" w:rsidRDefault="00212B87" w:rsidP="00417688">
            <w:pPr>
              <w:spacing w:after="0" w:line="240" w:lineRule="auto"/>
              <w:jc w:val="center"/>
              <w:rPr>
                <w:rFonts w:cs="Arial"/>
                <w:color w:val="000000"/>
                <w:szCs w:val="22"/>
                <w:lang w:eastAsia="zh-CN" w:bidi="th-TH"/>
              </w:rPr>
            </w:pPr>
            <w:r w:rsidRPr="003A7C01">
              <w:rPr>
                <w:rFonts w:cs="Arial"/>
                <w:color w:val="000000"/>
                <w:szCs w:val="22"/>
                <w:lang w:eastAsia="zh-CN" w:bidi="th-TH"/>
              </w:rPr>
              <w:t>21,174</w:t>
            </w:r>
          </w:p>
        </w:tc>
        <w:tc>
          <w:tcPr>
            <w:tcW w:w="1811" w:type="dxa"/>
            <w:tcBorders>
              <w:top w:val="single" w:sz="4" w:space="0" w:color="auto"/>
              <w:left w:val="nil"/>
              <w:bottom w:val="single" w:sz="4" w:space="0" w:color="auto"/>
              <w:right w:val="single" w:sz="4" w:space="0" w:color="auto"/>
            </w:tcBorders>
            <w:shd w:val="clear" w:color="000000" w:fill="D0CECE"/>
            <w:vAlign w:val="center"/>
            <w:hideMark/>
          </w:tcPr>
          <w:p w14:paraId="0AD6765E" w14:textId="77777777" w:rsidR="00212B87" w:rsidRPr="003A7C01" w:rsidRDefault="00212B87" w:rsidP="00417688">
            <w:pPr>
              <w:spacing w:after="0" w:line="240" w:lineRule="auto"/>
              <w:jc w:val="center"/>
              <w:rPr>
                <w:rFonts w:cs="Arial"/>
                <w:color w:val="000000"/>
                <w:szCs w:val="22"/>
                <w:lang w:eastAsia="zh-CN" w:bidi="th-TH"/>
              </w:rPr>
            </w:pPr>
            <w:r w:rsidRPr="003A7C01">
              <w:rPr>
                <w:rFonts w:cs="Arial"/>
                <w:color w:val="000000"/>
                <w:szCs w:val="22"/>
                <w:lang w:eastAsia="zh-CN" w:bidi="th-TH"/>
              </w:rPr>
              <w:t>16,760</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14:paraId="6087A899" w14:textId="77777777" w:rsidR="00212B87" w:rsidRPr="003A7C01" w:rsidRDefault="00212B87" w:rsidP="00417688">
            <w:pPr>
              <w:spacing w:after="0" w:line="240" w:lineRule="auto"/>
              <w:jc w:val="center"/>
              <w:rPr>
                <w:rFonts w:cs="Arial"/>
                <w:color w:val="000000"/>
                <w:szCs w:val="22"/>
                <w:lang w:eastAsia="zh-CN" w:bidi="th-TH"/>
              </w:rPr>
            </w:pPr>
            <w:r w:rsidRPr="003A7C01">
              <w:rPr>
                <w:rFonts w:cs="Arial"/>
                <w:color w:val="000000"/>
                <w:szCs w:val="22"/>
                <w:lang w:eastAsia="zh-CN" w:bidi="th-TH"/>
              </w:rPr>
              <w:t>20,829</w:t>
            </w:r>
          </w:p>
        </w:tc>
      </w:tr>
      <w:tr w:rsidR="00212B87" w:rsidRPr="003A7C01" w14:paraId="277228E1" w14:textId="77777777" w:rsidTr="00417688">
        <w:trPr>
          <w:trHeight w:val="820"/>
        </w:trPr>
        <w:tc>
          <w:tcPr>
            <w:tcW w:w="4422" w:type="dxa"/>
            <w:tcBorders>
              <w:top w:val="nil"/>
              <w:left w:val="single" w:sz="4" w:space="0" w:color="auto"/>
              <w:bottom w:val="single" w:sz="4" w:space="0" w:color="auto"/>
              <w:right w:val="single" w:sz="4" w:space="0" w:color="auto"/>
            </w:tcBorders>
            <w:shd w:val="clear" w:color="auto" w:fill="auto"/>
            <w:vAlign w:val="center"/>
            <w:hideMark/>
          </w:tcPr>
          <w:p w14:paraId="110BAA15" w14:textId="77777777" w:rsidR="00212B87" w:rsidRPr="003A7C01" w:rsidRDefault="00212B87" w:rsidP="00417688">
            <w:pPr>
              <w:spacing w:after="0" w:line="240" w:lineRule="auto"/>
              <w:rPr>
                <w:rFonts w:cs="Arial"/>
                <w:color w:val="000000"/>
                <w:szCs w:val="22"/>
                <w:lang w:eastAsia="zh-CN" w:bidi="th-TH"/>
              </w:rPr>
            </w:pPr>
            <w:r w:rsidRPr="003A7C01">
              <w:rPr>
                <w:rFonts w:cs="Arial"/>
                <w:color w:val="000000"/>
                <w:szCs w:val="22"/>
                <w:lang w:eastAsia="zh-CN" w:bidi="th-TH"/>
              </w:rPr>
              <w:t>Legal Advice and Minor Work sessions  </w:t>
            </w:r>
          </w:p>
        </w:tc>
        <w:tc>
          <w:tcPr>
            <w:tcW w:w="1811" w:type="dxa"/>
            <w:tcBorders>
              <w:top w:val="nil"/>
              <w:left w:val="nil"/>
              <w:bottom w:val="single" w:sz="4" w:space="0" w:color="auto"/>
              <w:right w:val="single" w:sz="4" w:space="0" w:color="auto"/>
            </w:tcBorders>
            <w:shd w:val="clear" w:color="auto" w:fill="auto"/>
            <w:vAlign w:val="center"/>
            <w:hideMark/>
          </w:tcPr>
          <w:p w14:paraId="0788945D" w14:textId="77777777" w:rsidR="00212B87" w:rsidRPr="003A7C01" w:rsidRDefault="00212B87" w:rsidP="00417688">
            <w:pPr>
              <w:spacing w:after="0" w:line="240" w:lineRule="auto"/>
              <w:jc w:val="center"/>
              <w:rPr>
                <w:rFonts w:cs="Arial"/>
                <w:color w:val="000000"/>
                <w:szCs w:val="22"/>
                <w:lang w:eastAsia="zh-CN" w:bidi="th-TH"/>
              </w:rPr>
            </w:pPr>
            <w:r w:rsidRPr="003A7C01">
              <w:rPr>
                <w:rFonts w:cs="Arial"/>
                <w:color w:val="000000"/>
                <w:szCs w:val="22"/>
                <w:lang w:eastAsia="zh-CN" w:bidi="th-TH"/>
              </w:rPr>
              <w:t>9,211</w:t>
            </w:r>
          </w:p>
        </w:tc>
        <w:tc>
          <w:tcPr>
            <w:tcW w:w="1811" w:type="dxa"/>
            <w:tcBorders>
              <w:top w:val="nil"/>
              <w:left w:val="nil"/>
              <w:bottom w:val="single" w:sz="4" w:space="0" w:color="auto"/>
              <w:right w:val="single" w:sz="4" w:space="0" w:color="auto"/>
            </w:tcBorders>
            <w:shd w:val="clear" w:color="000000" w:fill="D0CECE"/>
            <w:vAlign w:val="center"/>
            <w:hideMark/>
          </w:tcPr>
          <w:p w14:paraId="1DB0781F" w14:textId="77777777" w:rsidR="00212B87" w:rsidRPr="003A7C01" w:rsidRDefault="00212B87" w:rsidP="00417688">
            <w:pPr>
              <w:spacing w:after="0" w:line="240" w:lineRule="auto"/>
              <w:jc w:val="center"/>
              <w:rPr>
                <w:rFonts w:cs="Arial"/>
                <w:color w:val="000000"/>
                <w:szCs w:val="22"/>
                <w:lang w:eastAsia="zh-CN" w:bidi="th-TH"/>
              </w:rPr>
            </w:pPr>
            <w:r w:rsidRPr="003A7C01">
              <w:rPr>
                <w:rFonts w:cs="Arial"/>
                <w:color w:val="000000"/>
                <w:szCs w:val="22"/>
                <w:lang w:eastAsia="zh-CN" w:bidi="th-TH"/>
              </w:rPr>
              <w:t>8,981</w:t>
            </w:r>
          </w:p>
        </w:tc>
        <w:tc>
          <w:tcPr>
            <w:tcW w:w="1811" w:type="dxa"/>
            <w:tcBorders>
              <w:top w:val="nil"/>
              <w:left w:val="nil"/>
              <w:bottom w:val="single" w:sz="4" w:space="0" w:color="auto"/>
              <w:right w:val="single" w:sz="4" w:space="0" w:color="auto"/>
            </w:tcBorders>
            <w:shd w:val="clear" w:color="auto" w:fill="auto"/>
            <w:vAlign w:val="center"/>
            <w:hideMark/>
          </w:tcPr>
          <w:p w14:paraId="15FD09EB" w14:textId="77777777" w:rsidR="00212B87" w:rsidRPr="003A7C01" w:rsidRDefault="00212B87" w:rsidP="00417688">
            <w:pPr>
              <w:spacing w:after="0" w:line="240" w:lineRule="auto"/>
              <w:jc w:val="center"/>
              <w:rPr>
                <w:rFonts w:cs="Arial"/>
                <w:color w:val="000000"/>
                <w:szCs w:val="22"/>
                <w:lang w:eastAsia="zh-CN" w:bidi="th-TH"/>
              </w:rPr>
            </w:pPr>
            <w:r w:rsidRPr="003A7C01">
              <w:rPr>
                <w:rFonts w:cs="Arial"/>
                <w:color w:val="000000"/>
                <w:szCs w:val="22"/>
                <w:lang w:eastAsia="zh-CN" w:bidi="th-TH"/>
              </w:rPr>
              <w:t>7,620</w:t>
            </w:r>
          </w:p>
        </w:tc>
      </w:tr>
      <w:tr w:rsidR="00212B87" w:rsidRPr="003A7C01" w14:paraId="0E902E79" w14:textId="77777777" w:rsidTr="00417688">
        <w:trPr>
          <w:trHeight w:val="838"/>
        </w:trPr>
        <w:tc>
          <w:tcPr>
            <w:tcW w:w="4422" w:type="dxa"/>
            <w:tcBorders>
              <w:top w:val="nil"/>
              <w:left w:val="single" w:sz="4" w:space="0" w:color="auto"/>
              <w:bottom w:val="single" w:sz="4" w:space="0" w:color="auto"/>
              <w:right w:val="single" w:sz="4" w:space="0" w:color="auto"/>
            </w:tcBorders>
            <w:shd w:val="clear" w:color="auto" w:fill="auto"/>
            <w:vAlign w:val="center"/>
            <w:hideMark/>
          </w:tcPr>
          <w:p w14:paraId="61971588" w14:textId="77777777" w:rsidR="00212B87" w:rsidRPr="003A7C01" w:rsidRDefault="00212B87" w:rsidP="00417688">
            <w:pPr>
              <w:spacing w:after="0" w:line="240" w:lineRule="auto"/>
              <w:rPr>
                <w:rFonts w:cs="Arial"/>
                <w:color w:val="000000"/>
                <w:szCs w:val="22"/>
                <w:lang w:eastAsia="zh-CN" w:bidi="th-TH"/>
              </w:rPr>
            </w:pPr>
            <w:r w:rsidRPr="003A7C01">
              <w:rPr>
                <w:rFonts w:cs="Arial"/>
                <w:color w:val="000000"/>
                <w:szCs w:val="22"/>
                <w:lang w:eastAsia="zh-CN" w:bidi="th-TH"/>
              </w:rPr>
              <w:t>Duty Lawyer Services</w:t>
            </w:r>
            <w:r w:rsidRPr="003A7C01">
              <w:rPr>
                <w:rFonts w:cs="Arial"/>
                <w:color w:val="000000"/>
                <w:szCs w:val="22"/>
                <w:vertAlign w:val="superscript"/>
                <w:lang w:eastAsia="zh-CN" w:bidi="th-TH"/>
              </w:rPr>
              <w:t>2</w:t>
            </w:r>
            <w:r w:rsidRPr="003A7C01">
              <w:rPr>
                <w:rFonts w:cs="Arial"/>
                <w:color w:val="000000"/>
                <w:szCs w:val="22"/>
                <w:lang w:eastAsia="zh-CN" w:bidi="th-TH"/>
              </w:rPr>
              <w:t xml:space="preserve"> </w:t>
            </w:r>
          </w:p>
        </w:tc>
        <w:tc>
          <w:tcPr>
            <w:tcW w:w="1811" w:type="dxa"/>
            <w:tcBorders>
              <w:top w:val="nil"/>
              <w:left w:val="nil"/>
              <w:bottom w:val="single" w:sz="4" w:space="0" w:color="auto"/>
              <w:right w:val="single" w:sz="4" w:space="0" w:color="auto"/>
            </w:tcBorders>
            <w:shd w:val="clear" w:color="auto" w:fill="auto"/>
            <w:vAlign w:val="center"/>
            <w:hideMark/>
          </w:tcPr>
          <w:p w14:paraId="7C21DB6B" w14:textId="77777777" w:rsidR="00212B87" w:rsidRPr="003A7C01" w:rsidRDefault="00212B87" w:rsidP="00417688">
            <w:pPr>
              <w:spacing w:after="0" w:line="240" w:lineRule="auto"/>
              <w:jc w:val="center"/>
              <w:rPr>
                <w:rFonts w:cs="Arial"/>
                <w:color w:val="000000"/>
                <w:szCs w:val="22"/>
                <w:lang w:eastAsia="zh-CN" w:bidi="th-TH"/>
              </w:rPr>
            </w:pPr>
            <w:r w:rsidRPr="003A7C01">
              <w:rPr>
                <w:rFonts w:cs="Arial"/>
                <w:color w:val="000000"/>
                <w:szCs w:val="22"/>
                <w:lang w:eastAsia="zh-CN" w:bidi="th-TH"/>
              </w:rPr>
              <w:t>26,156</w:t>
            </w:r>
          </w:p>
        </w:tc>
        <w:tc>
          <w:tcPr>
            <w:tcW w:w="1811" w:type="dxa"/>
            <w:tcBorders>
              <w:top w:val="nil"/>
              <w:left w:val="nil"/>
              <w:bottom w:val="single" w:sz="4" w:space="0" w:color="auto"/>
              <w:right w:val="single" w:sz="4" w:space="0" w:color="auto"/>
            </w:tcBorders>
            <w:shd w:val="clear" w:color="000000" w:fill="D0CECE"/>
            <w:vAlign w:val="center"/>
            <w:hideMark/>
          </w:tcPr>
          <w:p w14:paraId="39EB8FFB" w14:textId="77777777" w:rsidR="00212B87" w:rsidRPr="003A7C01" w:rsidRDefault="00212B87" w:rsidP="00417688">
            <w:pPr>
              <w:spacing w:after="0" w:line="240" w:lineRule="auto"/>
              <w:jc w:val="center"/>
              <w:rPr>
                <w:rFonts w:cs="Arial"/>
                <w:color w:val="000000"/>
                <w:szCs w:val="22"/>
                <w:lang w:eastAsia="zh-CN" w:bidi="th-TH"/>
              </w:rPr>
            </w:pPr>
            <w:r w:rsidRPr="003A7C01">
              <w:rPr>
                <w:rFonts w:cs="Arial"/>
                <w:color w:val="000000"/>
                <w:szCs w:val="22"/>
                <w:lang w:eastAsia="zh-CN" w:bidi="th-TH"/>
              </w:rPr>
              <w:t>22,406</w:t>
            </w:r>
          </w:p>
        </w:tc>
        <w:tc>
          <w:tcPr>
            <w:tcW w:w="1811" w:type="dxa"/>
            <w:tcBorders>
              <w:top w:val="nil"/>
              <w:left w:val="nil"/>
              <w:bottom w:val="single" w:sz="4" w:space="0" w:color="auto"/>
              <w:right w:val="single" w:sz="4" w:space="0" w:color="auto"/>
            </w:tcBorders>
            <w:shd w:val="clear" w:color="auto" w:fill="auto"/>
            <w:vAlign w:val="center"/>
            <w:hideMark/>
          </w:tcPr>
          <w:p w14:paraId="1CFF709E" w14:textId="77777777" w:rsidR="00212B87" w:rsidRPr="003A7C01" w:rsidRDefault="00212B87" w:rsidP="00417688">
            <w:pPr>
              <w:spacing w:after="0" w:line="240" w:lineRule="auto"/>
              <w:jc w:val="center"/>
              <w:rPr>
                <w:rFonts w:cs="Arial"/>
                <w:color w:val="000000"/>
                <w:szCs w:val="22"/>
                <w:lang w:eastAsia="zh-CN" w:bidi="th-TH"/>
              </w:rPr>
            </w:pPr>
            <w:r w:rsidRPr="003A7C01">
              <w:rPr>
                <w:rFonts w:cs="Arial"/>
                <w:color w:val="000000"/>
                <w:szCs w:val="22"/>
                <w:lang w:eastAsia="zh-CN" w:bidi="th-TH"/>
              </w:rPr>
              <w:t>24,429</w:t>
            </w:r>
          </w:p>
        </w:tc>
      </w:tr>
      <w:tr w:rsidR="00212B87" w:rsidRPr="003A7C01" w14:paraId="3329506D" w14:textId="77777777" w:rsidTr="00417688">
        <w:trPr>
          <w:trHeight w:val="838"/>
        </w:trPr>
        <w:tc>
          <w:tcPr>
            <w:tcW w:w="4422" w:type="dxa"/>
            <w:tcBorders>
              <w:top w:val="nil"/>
              <w:left w:val="single" w:sz="4" w:space="0" w:color="auto"/>
              <w:bottom w:val="single" w:sz="4" w:space="0" w:color="auto"/>
              <w:right w:val="single" w:sz="4" w:space="0" w:color="auto"/>
            </w:tcBorders>
            <w:shd w:val="clear" w:color="auto" w:fill="auto"/>
            <w:vAlign w:val="center"/>
            <w:hideMark/>
          </w:tcPr>
          <w:p w14:paraId="4C539FF6" w14:textId="77777777" w:rsidR="00212B87" w:rsidRPr="003A7C01" w:rsidRDefault="00212B87" w:rsidP="00417688">
            <w:pPr>
              <w:spacing w:after="0" w:line="240" w:lineRule="auto"/>
              <w:rPr>
                <w:rFonts w:cs="Arial"/>
                <w:color w:val="000000"/>
                <w:szCs w:val="22"/>
                <w:lang w:eastAsia="zh-CN" w:bidi="th-TH"/>
              </w:rPr>
            </w:pPr>
            <w:r w:rsidRPr="003A7C01">
              <w:rPr>
                <w:rFonts w:cs="Arial"/>
                <w:color w:val="000000"/>
                <w:szCs w:val="22"/>
                <w:lang w:eastAsia="zh-CN" w:bidi="th-TH"/>
              </w:rPr>
              <w:t>Grants of Legal Assistance </w:t>
            </w:r>
          </w:p>
        </w:tc>
        <w:tc>
          <w:tcPr>
            <w:tcW w:w="1811" w:type="dxa"/>
            <w:tcBorders>
              <w:top w:val="nil"/>
              <w:left w:val="nil"/>
              <w:bottom w:val="single" w:sz="4" w:space="0" w:color="auto"/>
              <w:right w:val="single" w:sz="4" w:space="0" w:color="auto"/>
            </w:tcBorders>
            <w:shd w:val="clear" w:color="auto" w:fill="auto"/>
            <w:vAlign w:val="center"/>
            <w:hideMark/>
          </w:tcPr>
          <w:p w14:paraId="3F2C8F90" w14:textId="77777777" w:rsidR="00212B87" w:rsidRPr="003A7C01" w:rsidRDefault="00212B87" w:rsidP="00417688">
            <w:pPr>
              <w:spacing w:after="0" w:line="240" w:lineRule="auto"/>
              <w:jc w:val="center"/>
              <w:rPr>
                <w:rFonts w:cs="Arial"/>
                <w:color w:val="000000"/>
                <w:szCs w:val="22"/>
                <w:lang w:eastAsia="zh-CN" w:bidi="th-TH"/>
              </w:rPr>
            </w:pPr>
            <w:r w:rsidRPr="003A7C01">
              <w:rPr>
                <w:rFonts w:cs="Arial"/>
                <w:color w:val="000000"/>
                <w:szCs w:val="22"/>
                <w:lang w:eastAsia="zh-CN" w:bidi="th-TH"/>
              </w:rPr>
              <w:t>9,745</w:t>
            </w:r>
          </w:p>
        </w:tc>
        <w:tc>
          <w:tcPr>
            <w:tcW w:w="1811" w:type="dxa"/>
            <w:tcBorders>
              <w:top w:val="nil"/>
              <w:left w:val="nil"/>
              <w:bottom w:val="single" w:sz="4" w:space="0" w:color="auto"/>
              <w:right w:val="single" w:sz="4" w:space="0" w:color="auto"/>
            </w:tcBorders>
            <w:shd w:val="clear" w:color="000000" w:fill="D0CECE"/>
            <w:vAlign w:val="center"/>
            <w:hideMark/>
          </w:tcPr>
          <w:p w14:paraId="2B8C5012" w14:textId="77777777" w:rsidR="00212B87" w:rsidRPr="003A7C01" w:rsidRDefault="00212B87" w:rsidP="00417688">
            <w:pPr>
              <w:spacing w:after="0" w:line="240" w:lineRule="auto"/>
              <w:jc w:val="center"/>
              <w:rPr>
                <w:rFonts w:cs="Arial"/>
                <w:color w:val="000000"/>
                <w:szCs w:val="22"/>
                <w:lang w:eastAsia="zh-CN" w:bidi="th-TH"/>
              </w:rPr>
            </w:pPr>
            <w:r w:rsidRPr="003A7C01">
              <w:rPr>
                <w:rFonts w:cs="Arial"/>
                <w:color w:val="000000"/>
                <w:szCs w:val="22"/>
                <w:lang w:eastAsia="zh-CN" w:bidi="th-TH"/>
              </w:rPr>
              <w:t>9,873</w:t>
            </w:r>
          </w:p>
        </w:tc>
        <w:tc>
          <w:tcPr>
            <w:tcW w:w="1811" w:type="dxa"/>
            <w:tcBorders>
              <w:top w:val="nil"/>
              <w:left w:val="nil"/>
              <w:bottom w:val="single" w:sz="4" w:space="0" w:color="auto"/>
              <w:right w:val="single" w:sz="4" w:space="0" w:color="auto"/>
            </w:tcBorders>
            <w:shd w:val="clear" w:color="auto" w:fill="auto"/>
            <w:vAlign w:val="center"/>
            <w:hideMark/>
          </w:tcPr>
          <w:p w14:paraId="40E88454" w14:textId="77777777" w:rsidR="00212B87" w:rsidRPr="003A7C01" w:rsidRDefault="00212B87" w:rsidP="00417688">
            <w:pPr>
              <w:spacing w:after="0" w:line="240" w:lineRule="auto"/>
              <w:jc w:val="center"/>
              <w:rPr>
                <w:rFonts w:cs="Arial"/>
                <w:color w:val="000000"/>
                <w:szCs w:val="22"/>
                <w:lang w:eastAsia="zh-CN" w:bidi="th-TH"/>
              </w:rPr>
            </w:pPr>
            <w:r w:rsidRPr="003A7C01">
              <w:rPr>
                <w:rFonts w:cs="Arial"/>
                <w:color w:val="000000"/>
                <w:szCs w:val="22"/>
                <w:lang w:eastAsia="zh-CN" w:bidi="th-TH"/>
              </w:rPr>
              <w:t>11,875</w:t>
            </w:r>
          </w:p>
        </w:tc>
      </w:tr>
    </w:tbl>
    <w:p w14:paraId="22268069" w14:textId="77777777" w:rsidR="00212B87" w:rsidRDefault="00212B87" w:rsidP="00212B87">
      <w:pPr>
        <w:pStyle w:val="FootnoteText"/>
        <w:ind w:left="142" w:hanging="142"/>
      </w:pPr>
      <w:r>
        <w:rPr>
          <w:rStyle w:val="FootnoteReference"/>
        </w:rPr>
        <w:footnoteRef/>
      </w:r>
      <w:r>
        <w:tab/>
        <w:t xml:space="preserve">A unique client is an individual who has accessed one or more of our legal services and with whom a client-lawyer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p>
    <w:p w14:paraId="3A18F371" w14:textId="77777777" w:rsidR="00212B87" w:rsidRDefault="00212B87" w:rsidP="00212B87">
      <w:pPr>
        <w:pStyle w:val="FootnoteText"/>
        <w:ind w:left="142" w:hanging="142"/>
      </w:pPr>
      <w:r>
        <w:rPr>
          <w:rStyle w:val="FootnoteReference"/>
        </w:rPr>
        <w:t>2</w:t>
      </w:r>
      <w:r w:rsidRPr="004D4002">
        <w:t xml:space="preserve"> Th</w:t>
      </w:r>
      <w:r>
        <w:t xml:space="preserve">e quarter two (Q2) </w:t>
      </w:r>
      <w:r w:rsidRPr="004D4002">
        <w:t xml:space="preserve">figure </w:t>
      </w:r>
      <w:r>
        <w:t>includes an</w:t>
      </w:r>
      <w:r w:rsidRPr="004D4002">
        <w:t xml:space="preserve"> adjust</w:t>
      </w:r>
      <w:r>
        <w:t xml:space="preserve">ment of </w:t>
      </w:r>
      <w:r w:rsidRPr="004D4002">
        <w:t>3,719 duty lawyer services</w:t>
      </w:r>
      <w:r>
        <w:t xml:space="preserve">. </w:t>
      </w:r>
    </w:p>
    <w:p w14:paraId="05AFE3F4" w14:textId="77777777" w:rsidR="004D2B4E" w:rsidRDefault="004D2B4E">
      <w:pPr>
        <w:spacing w:after="0" w:line="240" w:lineRule="auto"/>
        <w:rPr>
          <w:rFonts w:cs="Arial"/>
          <w:b/>
          <w:bCs/>
          <w:iCs/>
          <w:color w:val="971A4B"/>
          <w:sz w:val="28"/>
          <w:szCs w:val="28"/>
          <w:lang w:eastAsia="en-AU"/>
        </w:rPr>
      </w:pPr>
      <w:r>
        <w:br w:type="page"/>
      </w:r>
    </w:p>
    <w:p w14:paraId="22210E04" w14:textId="42D52316" w:rsidR="00212B87" w:rsidRPr="004D2B4E" w:rsidRDefault="00212B87" w:rsidP="004D2B4E">
      <w:pPr>
        <w:pStyle w:val="Heading2"/>
      </w:pPr>
      <w:r w:rsidRPr="004D2B4E">
        <w:lastRenderedPageBreak/>
        <w:t xml:space="preserve">Community </w:t>
      </w:r>
      <w:r w:rsidR="004D2B4E">
        <w:t>s</w:t>
      </w:r>
      <w:r w:rsidRPr="004D2B4E">
        <w:t>ervices</w:t>
      </w:r>
    </w:p>
    <w:p w14:paraId="692385D8" w14:textId="19A830F1" w:rsidR="00212B87" w:rsidRDefault="00212B87" w:rsidP="00212B87">
      <w:r w:rsidRPr="00EB1612">
        <w:t xml:space="preserve">The number of Legal Help sessions increased from </w:t>
      </w:r>
      <w:r>
        <w:t>the previous quarter, an increase of 3 per-cent (</w:t>
      </w:r>
      <w:r w:rsidRPr="00EB1612">
        <w:t>Table 1.2)</w:t>
      </w:r>
      <w:r>
        <w:t>. The wait time</w:t>
      </w:r>
      <w:r w:rsidR="00BC562F">
        <w:t xml:space="preserve"> </w:t>
      </w:r>
      <w:r>
        <w:t xml:space="preserve">increased during the quarter due to </w:t>
      </w:r>
      <w:r w:rsidR="00151E61">
        <w:t>higher staff leave during January</w:t>
      </w:r>
      <w:r w:rsidR="00BC562F">
        <w:t xml:space="preserve">, </w:t>
      </w:r>
      <w:r w:rsidR="00151E61">
        <w:t>however</w:t>
      </w:r>
      <w:r w:rsidR="00BC562F">
        <w:t xml:space="preserve"> </w:t>
      </w:r>
      <w:r w:rsidR="00151E61">
        <w:t xml:space="preserve">it </w:t>
      </w:r>
      <w:r w:rsidR="007E216D">
        <w:t>continues to remain</w:t>
      </w:r>
      <w:r w:rsidR="00151E61">
        <w:t xml:space="preserve"> lower than the full year projection</w:t>
      </w:r>
      <w:r>
        <w:t>.</w:t>
      </w:r>
      <w:r w:rsidR="00BC562F">
        <w:t xml:space="preserve"> </w:t>
      </w:r>
      <w:r>
        <w:t xml:space="preserve">Overall, there has been a positive impact on the quality and delivery of our Legal Help services from the recent transition to our new </w:t>
      </w:r>
      <w:r w:rsidR="007648D4">
        <w:t xml:space="preserve">technology </w:t>
      </w:r>
      <w:r>
        <w:t>platform</w:t>
      </w:r>
      <w:r w:rsidR="00151E61">
        <w:t xml:space="preserve"> and implementation of specialist lines</w:t>
      </w:r>
      <w:r>
        <w:t>. The project</w:t>
      </w:r>
      <w:r w:rsidRPr="00D942F4">
        <w:t xml:space="preserve"> to </w:t>
      </w:r>
      <w:r>
        <w:t>improve</w:t>
      </w:r>
      <w:r w:rsidRPr="00D942F4">
        <w:t xml:space="preserve"> our webchat tool is on track to be completed by </w:t>
      </w:r>
      <w:r w:rsidR="00151E61">
        <w:t xml:space="preserve">the end of </w:t>
      </w:r>
      <w:r w:rsidRPr="00D942F4">
        <w:t>June</w:t>
      </w:r>
      <w:r>
        <w:t xml:space="preserve">. </w:t>
      </w:r>
      <w:r w:rsidRPr="00D942F4">
        <w:t xml:space="preserve">The improvements will enable faster intake via VLA’s website and support future </w:t>
      </w:r>
      <w:r w:rsidR="007648D4">
        <w:t xml:space="preserve">innovations to </w:t>
      </w:r>
      <w:r>
        <w:t>enhance the experience for clients</w:t>
      </w:r>
      <w:r w:rsidR="007648D4">
        <w:t xml:space="preserve"> (for example, the use of artificial intelligence)</w:t>
      </w:r>
      <w:r>
        <w:t>.</w:t>
      </w:r>
      <w:bookmarkStart w:id="3" w:name="_Hlk164245268"/>
    </w:p>
    <w:p w14:paraId="12D299DF" w14:textId="7A99C0B9" w:rsidR="00212B87" w:rsidRPr="00292C3E" w:rsidRDefault="00212B87" w:rsidP="00212B87">
      <w:r>
        <w:t>In quarter three 2023–24, we provided 36 Community Legal Education (CLE) sessions (Table 1.2)</w:t>
      </w:r>
      <w:r w:rsidRPr="00FF0FFA">
        <w:t>.</w:t>
      </w:r>
      <w:r>
        <w:t xml:space="preserve"> We continued our work with people in incarceration to educate them on legal processes, along with at-risk youth to deliver preventative education sessions. </w:t>
      </w:r>
      <w:r w:rsidRPr="00FF0FFA">
        <w:t>We are</w:t>
      </w:r>
      <w:r>
        <w:t xml:space="preserve"> currently </w:t>
      </w:r>
      <w:r w:rsidRPr="00FF0FFA">
        <w:t xml:space="preserve">projecting similar results in </w:t>
      </w:r>
      <w:r>
        <w:t xml:space="preserve">quarter four. </w:t>
      </w:r>
      <w:r w:rsidR="007E216D">
        <w:t>W</w:t>
      </w:r>
      <w:r>
        <w:t>e will</w:t>
      </w:r>
      <w:r w:rsidRPr="00FE5F4E">
        <w:t xml:space="preserve"> continue to actively reach out and engage with community organisations and education providers</w:t>
      </w:r>
      <w:r w:rsidR="007E216D">
        <w:t>.</w:t>
      </w:r>
    </w:p>
    <w:bookmarkEnd w:id="3"/>
    <w:p w14:paraId="3465B0CB" w14:textId="77777777" w:rsidR="00212B87" w:rsidRPr="001623E2" w:rsidRDefault="00212B87" w:rsidP="00212B87">
      <w:pPr>
        <w:rPr>
          <w:rFonts w:cs="Arial"/>
          <w:szCs w:val="22"/>
        </w:rPr>
      </w:pPr>
      <w:r w:rsidRPr="00292C3E">
        <w:rPr>
          <w:rFonts w:cs="Arial"/>
          <w:szCs w:val="22"/>
        </w:rPr>
        <w:t>Google has been making changes to the way they track user data, which has had a flow</w:t>
      </w:r>
      <w:r>
        <w:rPr>
          <w:rFonts w:cs="Arial"/>
          <w:szCs w:val="22"/>
        </w:rPr>
        <w:t>-</w:t>
      </w:r>
      <w:r w:rsidRPr="00292C3E">
        <w:rPr>
          <w:rFonts w:cs="Arial"/>
          <w:szCs w:val="22"/>
        </w:rPr>
        <w:t xml:space="preserve">on impact on the analytics available to measure our website performance. </w:t>
      </w:r>
      <w:r>
        <w:rPr>
          <w:rFonts w:cs="Arial"/>
          <w:szCs w:val="22"/>
        </w:rPr>
        <w:t>In 2023-24, w</w:t>
      </w:r>
      <w:r w:rsidRPr="00292C3E">
        <w:rPr>
          <w:rFonts w:cs="Arial"/>
          <w:szCs w:val="22"/>
        </w:rPr>
        <w:t>e updated our performance measure to ‘Engaged sessions of legal information website pages’ (Table 1.2), which counts sessions that last longer than ten seconds or where a user has been actively engaged with the content.</w:t>
      </w:r>
      <w:r>
        <w:rPr>
          <w:rFonts w:cs="Arial"/>
          <w:szCs w:val="22"/>
        </w:rPr>
        <w:t xml:space="preserve"> </w:t>
      </w:r>
      <w:r w:rsidRPr="00CC060B">
        <w:t xml:space="preserve">In </w:t>
      </w:r>
      <w:r>
        <w:t>this quarter,</w:t>
      </w:r>
      <w:r w:rsidRPr="00CC060B">
        <w:t xml:space="preserve"> we saw an increase of 7 per</w:t>
      </w:r>
      <w:r>
        <w:t>-</w:t>
      </w:r>
      <w:r w:rsidRPr="00CC060B">
        <w:t>cent</w:t>
      </w:r>
      <w:r>
        <w:t xml:space="preserve"> from quarter two, however, </w:t>
      </w:r>
      <w:r>
        <w:rPr>
          <w:rFonts w:cs="Arial"/>
          <w:szCs w:val="22"/>
        </w:rPr>
        <w:t>t</w:t>
      </w:r>
      <w:r w:rsidRPr="00CC060B">
        <w:rPr>
          <w:rFonts w:cs="Arial"/>
          <w:szCs w:val="22"/>
        </w:rPr>
        <w:t>here</w:t>
      </w:r>
      <w:r w:rsidRPr="00FF0FFA">
        <w:rPr>
          <w:rFonts w:cs="Arial"/>
          <w:szCs w:val="22"/>
        </w:rPr>
        <w:t xml:space="preserve"> is currently not enough historical data available for this new measure to be able to make quarterly projections.</w:t>
      </w:r>
    </w:p>
    <w:p w14:paraId="3C3C18BD" w14:textId="77777777" w:rsidR="00212B87" w:rsidRDefault="00212B87" w:rsidP="004D2B4E">
      <w:pPr>
        <w:pStyle w:val="Tableheader"/>
      </w:pPr>
      <w:r w:rsidRPr="004D2B4E">
        <w:t>Table 1.2 Community information and education services</w:t>
      </w:r>
    </w:p>
    <w:tbl>
      <w:tblPr>
        <w:tblW w:w="9787" w:type="dxa"/>
        <w:tblLook w:val="04A0" w:firstRow="1" w:lastRow="0" w:firstColumn="1" w:lastColumn="0" w:noHBand="0" w:noVBand="1"/>
      </w:tblPr>
      <w:tblGrid>
        <w:gridCol w:w="4873"/>
        <w:gridCol w:w="1638"/>
        <w:gridCol w:w="1638"/>
        <w:gridCol w:w="1638"/>
      </w:tblGrid>
      <w:tr w:rsidR="007D0510" w:rsidRPr="003A7C01" w14:paraId="6105E9B1" w14:textId="77777777" w:rsidTr="00417688">
        <w:trPr>
          <w:trHeight w:val="347"/>
        </w:trPr>
        <w:tc>
          <w:tcPr>
            <w:tcW w:w="4873" w:type="dxa"/>
            <w:vMerge w:val="restart"/>
            <w:tcBorders>
              <w:top w:val="single" w:sz="4" w:space="0" w:color="auto"/>
              <w:left w:val="single" w:sz="4" w:space="0" w:color="auto"/>
              <w:bottom w:val="single" w:sz="4" w:space="0" w:color="auto"/>
              <w:right w:val="single" w:sz="4" w:space="0" w:color="auto"/>
            </w:tcBorders>
            <w:shd w:val="clear" w:color="000000" w:fill="B59CC0"/>
            <w:vAlign w:val="center"/>
            <w:hideMark/>
          </w:tcPr>
          <w:p w14:paraId="26189585" w14:textId="77777777" w:rsidR="007D0510" w:rsidRPr="003A7C01" w:rsidRDefault="007D0510" w:rsidP="00417688">
            <w:pPr>
              <w:rPr>
                <w:rFonts w:cs="Arial"/>
                <w:b/>
                <w:bCs/>
                <w:color w:val="000000"/>
                <w:szCs w:val="22"/>
                <w:lang w:eastAsia="zh-CN" w:bidi="th-TH"/>
              </w:rPr>
            </w:pPr>
            <w:r w:rsidRPr="003A7C01">
              <w:rPr>
                <w:rFonts w:cs="Arial"/>
                <w:b/>
                <w:bCs/>
                <w:color w:val="000000"/>
                <w:szCs w:val="22"/>
                <w:lang w:eastAsia="zh-CN" w:bidi="th-TH"/>
              </w:rPr>
              <w:t>Community information and education Services  </w:t>
            </w:r>
          </w:p>
        </w:tc>
        <w:tc>
          <w:tcPr>
            <w:tcW w:w="1638" w:type="dxa"/>
            <w:tcBorders>
              <w:top w:val="single" w:sz="4" w:space="0" w:color="auto"/>
              <w:left w:val="single" w:sz="4" w:space="0" w:color="auto"/>
              <w:bottom w:val="nil"/>
              <w:right w:val="single" w:sz="4" w:space="0" w:color="auto"/>
            </w:tcBorders>
            <w:shd w:val="clear" w:color="000000" w:fill="B59CC0"/>
            <w:vAlign w:val="center"/>
            <w:hideMark/>
          </w:tcPr>
          <w:p w14:paraId="182CCBB6" w14:textId="77777777" w:rsidR="007D0510" w:rsidRPr="003A7C01" w:rsidRDefault="007D051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Q2</w:t>
            </w:r>
          </w:p>
        </w:tc>
        <w:tc>
          <w:tcPr>
            <w:tcW w:w="1638" w:type="dxa"/>
            <w:tcBorders>
              <w:top w:val="single" w:sz="4" w:space="0" w:color="auto"/>
              <w:left w:val="nil"/>
              <w:bottom w:val="nil"/>
              <w:right w:val="single" w:sz="4" w:space="0" w:color="auto"/>
            </w:tcBorders>
            <w:shd w:val="clear" w:color="000000" w:fill="B59CC0"/>
            <w:vAlign w:val="center"/>
            <w:hideMark/>
          </w:tcPr>
          <w:p w14:paraId="098FC808" w14:textId="77777777" w:rsidR="007D0510" w:rsidRPr="003A7C01" w:rsidRDefault="007D051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Q3</w:t>
            </w:r>
          </w:p>
        </w:tc>
        <w:tc>
          <w:tcPr>
            <w:tcW w:w="1638" w:type="dxa"/>
            <w:tcBorders>
              <w:top w:val="single" w:sz="4" w:space="0" w:color="auto"/>
              <w:left w:val="nil"/>
              <w:bottom w:val="nil"/>
              <w:right w:val="single" w:sz="4" w:space="0" w:color="auto"/>
            </w:tcBorders>
            <w:shd w:val="clear" w:color="000000" w:fill="B59CC0"/>
            <w:vAlign w:val="center"/>
            <w:hideMark/>
          </w:tcPr>
          <w:p w14:paraId="6BF9963F" w14:textId="77777777" w:rsidR="007D0510" w:rsidRPr="003A7C01" w:rsidRDefault="007D051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Q4 2023-24</w:t>
            </w:r>
          </w:p>
        </w:tc>
      </w:tr>
      <w:tr w:rsidR="007D0510" w:rsidRPr="003A7C01" w14:paraId="0DEF3769" w14:textId="77777777" w:rsidTr="00417688">
        <w:trPr>
          <w:trHeight w:val="347"/>
        </w:trPr>
        <w:tc>
          <w:tcPr>
            <w:tcW w:w="4873" w:type="dxa"/>
            <w:vMerge/>
            <w:tcBorders>
              <w:top w:val="single" w:sz="4" w:space="0" w:color="auto"/>
              <w:left w:val="single" w:sz="4" w:space="0" w:color="auto"/>
              <w:bottom w:val="single" w:sz="4" w:space="0" w:color="auto"/>
              <w:right w:val="single" w:sz="4" w:space="0" w:color="auto"/>
            </w:tcBorders>
            <w:vAlign w:val="center"/>
            <w:hideMark/>
          </w:tcPr>
          <w:p w14:paraId="3AE3206A" w14:textId="77777777" w:rsidR="007D0510" w:rsidRPr="003A7C01" w:rsidRDefault="007D0510" w:rsidP="00417688">
            <w:pPr>
              <w:spacing w:after="0" w:line="240" w:lineRule="auto"/>
              <w:rPr>
                <w:rFonts w:cs="Arial"/>
                <w:b/>
                <w:bCs/>
                <w:color w:val="000000"/>
                <w:szCs w:val="22"/>
                <w:lang w:eastAsia="zh-CN" w:bidi="th-TH"/>
              </w:rPr>
            </w:pPr>
          </w:p>
        </w:tc>
        <w:tc>
          <w:tcPr>
            <w:tcW w:w="1638" w:type="dxa"/>
            <w:tcBorders>
              <w:top w:val="nil"/>
              <w:left w:val="single" w:sz="4" w:space="0" w:color="auto"/>
              <w:bottom w:val="single" w:sz="4" w:space="0" w:color="auto"/>
              <w:right w:val="single" w:sz="4" w:space="0" w:color="auto"/>
            </w:tcBorders>
            <w:shd w:val="clear" w:color="000000" w:fill="B59CC0"/>
            <w:vAlign w:val="center"/>
            <w:hideMark/>
          </w:tcPr>
          <w:p w14:paraId="365F58AD" w14:textId="77777777" w:rsidR="007D0510" w:rsidRPr="003A7C01" w:rsidRDefault="007D051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638" w:type="dxa"/>
            <w:tcBorders>
              <w:top w:val="nil"/>
              <w:left w:val="nil"/>
              <w:bottom w:val="single" w:sz="4" w:space="0" w:color="auto"/>
              <w:right w:val="single" w:sz="4" w:space="0" w:color="auto"/>
            </w:tcBorders>
            <w:shd w:val="clear" w:color="000000" w:fill="B59CC0"/>
            <w:vAlign w:val="center"/>
            <w:hideMark/>
          </w:tcPr>
          <w:p w14:paraId="02D9BA58" w14:textId="77777777" w:rsidR="007D0510" w:rsidRPr="003A7C01" w:rsidRDefault="007D051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638" w:type="dxa"/>
            <w:tcBorders>
              <w:top w:val="nil"/>
              <w:left w:val="nil"/>
              <w:bottom w:val="single" w:sz="4" w:space="0" w:color="auto"/>
              <w:right w:val="single" w:sz="4" w:space="0" w:color="auto"/>
            </w:tcBorders>
            <w:shd w:val="clear" w:color="000000" w:fill="B59CC0"/>
            <w:vAlign w:val="center"/>
            <w:hideMark/>
          </w:tcPr>
          <w:p w14:paraId="75CE7F1B" w14:textId="77777777" w:rsidR="007D0510" w:rsidRPr="003A7C01" w:rsidRDefault="007D051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projection</w:t>
            </w:r>
          </w:p>
        </w:tc>
      </w:tr>
      <w:tr w:rsidR="007D0510" w:rsidRPr="003A7C01" w14:paraId="40FA3A96" w14:textId="77777777" w:rsidTr="00417688">
        <w:trPr>
          <w:trHeight w:val="883"/>
        </w:trPr>
        <w:tc>
          <w:tcPr>
            <w:tcW w:w="4873" w:type="dxa"/>
            <w:tcBorders>
              <w:top w:val="nil"/>
              <w:left w:val="single" w:sz="4" w:space="0" w:color="auto"/>
              <w:bottom w:val="single" w:sz="4" w:space="0" w:color="auto"/>
              <w:right w:val="single" w:sz="4" w:space="0" w:color="auto"/>
            </w:tcBorders>
            <w:shd w:val="clear" w:color="auto" w:fill="auto"/>
            <w:vAlign w:val="center"/>
            <w:hideMark/>
          </w:tcPr>
          <w:p w14:paraId="2D2D6048" w14:textId="77777777" w:rsidR="007D0510" w:rsidRPr="003A7C01" w:rsidRDefault="007D0510" w:rsidP="00417688">
            <w:pPr>
              <w:spacing w:after="0" w:line="240" w:lineRule="auto"/>
              <w:rPr>
                <w:rFonts w:cs="Arial"/>
                <w:color w:val="000000"/>
                <w:szCs w:val="22"/>
                <w:lang w:eastAsia="zh-CN" w:bidi="th-TH"/>
              </w:rPr>
            </w:pPr>
            <w:r w:rsidRPr="003A7C01">
              <w:rPr>
                <w:rFonts w:cs="Arial"/>
                <w:color w:val="000000"/>
                <w:szCs w:val="22"/>
                <w:lang w:eastAsia="zh-CN" w:bidi="th-TH"/>
              </w:rPr>
              <w:t>Number of Legal Help sessions delivered </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40D37948" w14:textId="77777777" w:rsidR="007D0510" w:rsidRPr="003A7C01" w:rsidRDefault="007D051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37,400</w:t>
            </w:r>
          </w:p>
        </w:tc>
        <w:tc>
          <w:tcPr>
            <w:tcW w:w="1638" w:type="dxa"/>
            <w:tcBorders>
              <w:top w:val="single" w:sz="4" w:space="0" w:color="auto"/>
              <w:left w:val="nil"/>
              <w:bottom w:val="single" w:sz="4" w:space="0" w:color="auto"/>
              <w:right w:val="single" w:sz="4" w:space="0" w:color="auto"/>
            </w:tcBorders>
            <w:shd w:val="clear" w:color="000000" w:fill="D0CECE"/>
            <w:vAlign w:val="center"/>
            <w:hideMark/>
          </w:tcPr>
          <w:p w14:paraId="0BE091CE" w14:textId="77777777" w:rsidR="007D0510" w:rsidRPr="003A7C01" w:rsidRDefault="007D051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38,457</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41464CB9" w14:textId="77777777" w:rsidR="007D0510" w:rsidRPr="003A7C01" w:rsidRDefault="007D051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33,961</w:t>
            </w:r>
          </w:p>
        </w:tc>
      </w:tr>
      <w:tr w:rsidR="007D0510" w:rsidRPr="003A7C01" w14:paraId="533292B4" w14:textId="77777777" w:rsidTr="00417688">
        <w:trPr>
          <w:trHeight w:val="883"/>
        </w:trPr>
        <w:tc>
          <w:tcPr>
            <w:tcW w:w="4873" w:type="dxa"/>
            <w:tcBorders>
              <w:top w:val="nil"/>
              <w:left w:val="single" w:sz="4" w:space="0" w:color="auto"/>
              <w:bottom w:val="single" w:sz="4" w:space="0" w:color="auto"/>
              <w:right w:val="single" w:sz="4" w:space="0" w:color="auto"/>
            </w:tcBorders>
            <w:shd w:val="clear" w:color="auto" w:fill="auto"/>
            <w:vAlign w:val="center"/>
            <w:hideMark/>
          </w:tcPr>
          <w:p w14:paraId="5AA65D1D" w14:textId="77777777" w:rsidR="007D0510" w:rsidRPr="003A7C01" w:rsidRDefault="007D0510" w:rsidP="00417688">
            <w:pPr>
              <w:spacing w:after="0" w:line="240" w:lineRule="auto"/>
              <w:rPr>
                <w:rFonts w:cs="Arial"/>
                <w:color w:val="000000"/>
                <w:szCs w:val="22"/>
                <w:lang w:eastAsia="zh-CN" w:bidi="th-TH"/>
              </w:rPr>
            </w:pPr>
            <w:r w:rsidRPr="003A7C01">
              <w:rPr>
                <w:rFonts w:cs="Arial"/>
                <w:color w:val="000000"/>
                <w:szCs w:val="22"/>
                <w:lang w:eastAsia="zh-CN" w:bidi="th-TH"/>
              </w:rPr>
              <w:t>Combined average wait time (minutes) </w:t>
            </w:r>
          </w:p>
        </w:tc>
        <w:tc>
          <w:tcPr>
            <w:tcW w:w="1638" w:type="dxa"/>
            <w:tcBorders>
              <w:top w:val="nil"/>
              <w:left w:val="nil"/>
              <w:bottom w:val="single" w:sz="4" w:space="0" w:color="auto"/>
              <w:right w:val="single" w:sz="4" w:space="0" w:color="auto"/>
            </w:tcBorders>
            <w:shd w:val="clear" w:color="auto" w:fill="auto"/>
            <w:vAlign w:val="center"/>
            <w:hideMark/>
          </w:tcPr>
          <w:p w14:paraId="3B4F0C75" w14:textId="77777777" w:rsidR="007D0510" w:rsidRPr="003A7C01" w:rsidRDefault="007D051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6:27</w:t>
            </w:r>
          </w:p>
        </w:tc>
        <w:tc>
          <w:tcPr>
            <w:tcW w:w="1638" w:type="dxa"/>
            <w:tcBorders>
              <w:top w:val="nil"/>
              <w:left w:val="nil"/>
              <w:bottom w:val="single" w:sz="4" w:space="0" w:color="auto"/>
              <w:right w:val="single" w:sz="4" w:space="0" w:color="auto"/>
            </w:tcBorders>
            <w:shd w:val="clear" w:color="000000" w:fill="D0CECE"/>
            <w:vAlign w:val="center"/>
            <w:hideMark/>
          </w:tcPr>
          <w:p w14:paraId="629DC60F" w14:textId="290A369C" w:rsidR="007D0510" w:rsidRPr="003A7C01" w:rsidRDefault="00151E61" w:rsidP="00417688">
            <w:pPr>
              <w:spacing w:after="0" w:line="240" w:lineRule="auto"/>
              <w:jc w:val="center"/>
              <w:rPr>
                <w:rFonts w:cs="Arial"/>
                <w:color w:val="000000"/>
                <w:szCs w:val="22"/>
                <w:lang w:eastAsia="zh-CN" w:bidi="th-TH"/>
              </w:rPr>
            </w:pPr>
            <w:r>
              <w:rPr>
                <w:rFonts w:cs="Arial"/>
                <w:color w:val="000000"/>
                <w:szCs w:val="22"/>
                <w:lang w:eastAsia="zh-CN" w:bidi="th-TH"/>
              </w:rPr>
              <w:t>8.23</w:t>
            </w:r>
          </w:p>
        </w:tc>
        <w:tc>
          <w:tcPr>
            <w:tcW w:w="1638" w:type="dxa"/>
            <w:tcBorders>
              <w:top w:val="nil"/>
              <w:left w:val="nil"/>
              <w:bottom w:val="single" w:sz="4" w:space="0" w:color="auto"/>
              <w:right w:val="single" w:sz="4" w:space="0" w:color="auto"/>
            </w:tcBorders>
            <w:shd w:val="clear" w:color="000000" w:fill="FFFFFF"/>
            <w:vAlign w:val="center"/>
            <w:hideMark/>
          </w:tcPr>
          <w:p w14:paraId="59C41A52" w14:textId="77777777" w:rsidR="007D0510" w:rsidRPr="003A7C01" w:rsidRDefault="007D051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9:00</w:t>
            </w:r>
          </w:p>
        </w:tc>
      </w:tr>
      <w:tr w:rsidR="007D0510" w:rsidRPr="003A7C01" w14:paraId="15EF6594" w14:textId="77777777" w:rsidTr="00417688">
        <w:trPr>
          <w:trHeight w:val="883"/>
        </w:trPr>
        <w:tc>
          <w:tcPr>
            <w:tcW w:w="4873" w:type="dxa"/>
            <w:tcBorders>
              <w:top w:val="nil"/>
              <w:left w:val="single" w:sz="4" w:space="0" w:color="auto"/>
              <w:bottom w:val="single" w:sz="4" w:space="0" w:color="auto"/>
              <w:right w:val="single" w:sz="4" w:space="0" w:color="auto"/>
            </w:tcBorders>
            <w:shd w:val="clear" w:color="auto" w:fill="auto"/>
            <w:vAlign w:val="center"/>
            <w:hideMark/>
          </w:tcPr>
          <w:p w14:paraId="5632F834" w14:textId="77777777" w:rsidR="007D0510" w:rsidRPr="003A7C01" w:rsidRDefault="007D0510" w:rsidP="00417688">
            <w:pPr>
              <w:spacing w:after="0" w:line="240" w:lineRule="auto"/>
              <w:rPr>
                <w:rFonts w:cs="Arial"/>
                <w:color w:val="000000"/>
                <w:szCs w:val="22"/>
                <w:lang w:eastAsia="zh-CN" w:bidi="th-TH"/>
              </w:rPr>
            </w:pPr>
            <w:r w:rsidRPr="003A7C01">
              <w:rPr>
                <w:rFonts w:cs="Arial"/>
                <w:color w:val="000000"/>
                <w:szCs w:val="22"/>
                <w:lang w:eastAsia="zh-CN" w:bidi="th-TH"/>
              </w:rPr>
              <w:t>Information sessions </w:t>
            </w:r>
          </w:p>
        </w:tc>
        <w:tc>
          <w:tcPr>
            <w:tcW w:w="1638" w:type="dxa"/>
            <w:tcBorders>
              <w:top w:val="nil"/>
              <w:left w:val="nil"/>
              <w:bottom w:val="single" w:sz="4" w:space="0" w:color="auto"/>
              <w:right w:val="single" w:sz="4" w:space="0" w:color="auto"/>
            </w:tcBorders>
            <w:shd w:val="clear" w:color="auto" w:fill="auto"/>
            <w:vAlign w:val="center"/>
            <w:hideMark/>
          </w:tcPr>
          <w:p w14:paraId="7C68C38B" w14:textId="77777777" w:rsidR="007D0510" w:rsidRPr="003A7C01" w:rsidRDefault="007D051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31,515</w:t>
            </w:r>
          </w:p>
        </w:tc>
        <w:tc>
          <w:tcPr>
            <w:tcW w:w="1638" w:type="dxa"/>
            <w:tcBorders>
              <w:top w:val="nil"/>
              <w:left w:val="nil"/>
              <w:bottom w:val="single" w:sz="4" w:space="0" w:color="auto"/>
              <w:right w:val="single" w:sz="4" w:space="0" w:color="auto"/>
            </w:tcBorders>
            <w:shd w:val="clear" w:color="000000" w:fill="D0CECE"/>
            <w:vAlign w:val="center"/>
            <w:hideMark/>
          </w:tcPr>
          <w:p w14:paraId="5A22B7D6" w14:textId="77777777" w:rsidR="007D0510" w:rsidRPr="003A7C01" w:rsidRDefault="007D051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32,388</w:t>
            </w:r>
          </w:p>
        </w:tc>
        <w:tc>
          <w:tcPr>
            <w:tcW w:w="1638" w:type="dxa"/>
            <w:tcBorders>
              <w:top w:val="nil"/>
              <w:left w:val="nil"/>
              <w:bottom w:val="single" w:sz="4" w:space="0" w:color="auto"/>
              <w:right w:val="single" w:sz="4" w:space="0" w:color="auto"/>
            </w:tcBorders>
            <w:shd w:val="clear" w:color="auto" w:fill="auto"/>
            <w:vAlign w:val="center"/>
            <w:hideMark/>
          </w:tcPr>
          <w:p w14:paraId="00F36ED4" w14:textId="77777777" w:rsidR="007D0510" w:rsidRPr="003A7C01" w:rsidRDefault="007D051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28,318</w:t>
            </w:r>
          </w:p>
        </w:tc>
      </w:tr>
      <w:tr w:rsidR="007D0510" w:rsidRPr="003A7C01" w14:paraId="2B8B14B8" w14:textId="77777777" w:rsidTr="00417688">
        <w:trPr>
          <w:trHeight w:val="883"/>
        </w:trPr>
        <w:tc>
          <w:tcPr>
            <w:tcW w:w="4873" w:type="dxa"/>
            <w:tcBorders>
              <w:top w:val="nil"/>
              <w:left w:val="single" w:sz="4" w:space="0" w:color="auto"/>
              <w:bottom w:val="single" w:sz="4" w:space="0" w:color="auto"/>
              <w:right w:val="single" w:sz="4" w:space="0" w:color="auto"/>
            </w:tcBorders>
            <w:shd w:val="clear" w:color="auto" w:fill="auto"/>
            <w:vAlign w:val="center"/>
            <w:hideMark/>
          </w:tcPr>
          <w:p w14:paraId="1C1898D7" w14:textId="77777777" w:rsidR="007D0510" w:rsidRPr="003A7C01" w:rsidRDefault="007D0510" w:rsidP="00417688">
            <w:pPr>
              <w:spacing w:after="0" w:line="240" w:lineRule="auto"/>
              <w:rPr>
                <w:rFonts w:cs="Arial"/>
                <w:color w:val="000000"/>
                <w:szCs w:val="22"/>
                <w:lang w:eastAsia="zh-CN" w:bidi="th-TH"/>
              </w:rPr>
            </w:pPr>
            <w:r w:rsidRPr="003A7C01">
              <w:rPr>
                <w:rFonts w:cs="Arial"/>
                <w:color w:val="000000"/>
                <w:szCs w:val="22"/>
                <w:lang w:eastAsia="zh-CN" w:bidi="th-TH"/>
              </w:rPr>
              <w:t>Community Legal Education sessions </w:t>
            </w:r>
          </w:p>
        </w:tc>
        <w:tc>
          <w:tcPr>
            <w:tcW w:w="1638" w:type="dxa"/>
            <w:tcBorders>
              <w:top w:val="nil"/>
              <w:left w:val="nil"/>
              <w:bottom w:val="single" w:sz="4" w:space="0" w:color="auto"/>
              <w:right w:val="single" w:sz="4" w:space="0" w:color="auto"/>
            </w:tcBorders>
            <w:shd w:val="clear" w:color="auto" w:fill="auto"/>
            <w:vAlign w:val="center"/>
            <w:hideMark/>
          </w:tcPr>
          <w:p w14:paraId="76AC2650" w14:textId="77777777" w:rsidR="007D0510" w:rsidRPr="003A7C01" w:rsidRDefault="007D051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45</w:t>
            </w:r>
          </w:p>
        </w:tc>
        <w:tc>
          <w:tcPr>
            <w:tcW w:w="1638" w:type="dxa"/>
            <w:tcBorders>
              <w:top w:val="nil"/>
              <w:left w:val="nil"/>
              <w:bottom w:val="single" w:sz="4" w:space="0" w:color="auto"/>
              <w:right w:val="single" w:sz="4" w:space="0" w:color="auto"/>
            </w:tcBorders>
            <w:shd w:val="clear" w:color="000000" w:fill="D0CECE"/>
            <w:vAlign w:val="center"/>
            <w:hideMark/>
          </w:tcPr>
          <w:p w14:paraId="4546C815" w14:textId="77777777" w:rsidR="007D0510" w:rsidRPr="003A7C01" w:rsidRDefault="007D051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36</w:t>
            </w:r>
          </w:p>
        </w:tc>
        <w:tc>
          <w:tcPr>
            <w:tcW w:w="1638" w:type="dxa"/>
            <w:tcBorders>
              <w:top w:val="nil"/>
              <w:left w:val="nil"/>
              <w:bottom w:val="single" w:sz="4" w:space="0" w:color="auto"/>
              <w:right w:val="single" w:sz="4" w:space="0" w:color="auto"/>
            </w:tcBorders>
            <w:shd w:val="clear" w:color="000000" w:fill="FFFFFF"/>
            <w:vAlign w:val="center"/>
            <w:hideMark/>
          </w:tcPr>
          <w:p w14:paraId="477696FC" w14:textId="77777777" w:rsidR="007D0510" w:rsidRPr="003A7C01" w:rsidRDefault="007D051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35</w:t>
            </w:r>
          </w:p>
        </w:tc>
      </w:tr>
      <w:tr w:rsidR="007D0510" w:rsidRPr="003A7C01" w14:paraId="69FDC122" w14:textId="77777777" w:rsidTr="00417688">
        <w:trPr>
          <w:trHeight w:val="883"/>
        </w:trPr>
        <w:tc>
          <w:tcPr>
            <w:tcW w:w="4873" w:type="dxa"/>
            <w:tcBorders>
              <w:top w:val="nil"/>
              <w:left w:val="single" w:sz="4" w:space="0" w:color="auto"/>
              <w:bottom w:val="single" w:sz="4" w:space="0" w:color="auto"/>
              <w:right w:val="single" w:sz="4" w:space="0" w:color="auto"/>
            </w:tcBorders>
            <w:shd w:val="clear" w:color="auto" w:fill="auto"/>
            <w:vAlign w:val="center"/>
            <w:hideMark/>
          </w:tcPr>
          <w:p w14:paraId="11A6A226" w14:textId="77777777" w:rsidR="007D0510" w:rsidRPr="003A7C01" w:rsidRDefault="007D0510" w:rsidP="00417688">
            <w:pPr>
              <w:spacing w:after="0" w:line="240" w:lineRule="auto"/>
              <w:rPr>
                <w:rFonts w:cs="Arial"/>
                <w:color w:val="000000"/>
                <w:szCs w:val="22"/>
                <w:lang w:eastAsia="zh-CN" w:bidi="th-TH"/>
              </w:rPr>
            </w:pPr>
            <w:r w:rsidRPr="003A7C01">
              <w:rPr>
                <w:rFonts w:cs="Arial"/>
                <w:color w:val="000000"/>
                <w:szCs w:val="22"/>
                <w:lang w:eastAsia="zh-CN" w:bidi="th-TH"/>
              </w:rPr>
              <w:t>Engaged sessions</w:t>
            </w:r>
            <w:r w:rsidRPr="007D0510">
              <w:rPr>
                <w:rFonts w:cs="Arial"/>
                <w:color w:val="000000"/>
                <w:szCs w:val="22"/>
                <w:vertAlign w:val="superscript"/>
                <w:lang w:eastAsia="zh-CN" w:bidi="th-TH"/>
              </w:rPr>
              <w:t>3</w:t>
            </w:r>
            <w:r w:rsidRPr="003A7C01">
              <w:rPr>
                <w:rFonts w:cs="Arial"/>
                <w:color w:val="000000"/>
                <w:szCs w:val="22"/>
                <w:lang w:eastAsia="zh-CN" w:bidi="th-TH"/>
              </w:rPr>
              <w:t xml:space="preserve"> of legal information website pages </w:t>
            </w:r>
          </w:p>
        </w:tc>
        <w:tc>
          <w:tcPr>
            <w:tcW w:w="1638" w:type="dxa"/>
            <w:tcBorders>
              <w:top w:val="nil"/>
              <w:left w:val="nil"/>
              <w:bottom w:val="single" w:sz="4" w:space="0" w:color="auto"/>
              <w:right w:val="single" w:sz="4" w:space="0" w:color="auto"/>
            </w:tcBorders>
            <w:shd w:val="clear" w:color="auto" w:fill="auto"/>
            <w:vAlign w:val="center"/>
            <w:hideMark/>
          </w:tcPr>
          <w:p w14:paraId="40A75456" w14:textId="77777777" w:rsidR="007D0510" w:rsidRPr="003A7C01" w:rsidRDefault="007D051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262,716</w:t>
            </w:r>
          </w:p>
        </w:tc>
        <w:tc>
          <w:tcPr>
            <w:tcW w:w="1638" w:type="dxa"/>
            <w:tcBorders>
              <w:top w:val="nil"/>
              <w:left w:val="nil"/>
              <w:bottom w:val="single" w:sz="4" w:space="0" w:color="auto"/>
              <w:right w:val="single" w:sz="4" w:space="0" w:color="auto"/>
            </w:tcBorders>
            <w:shd w:val="clear" w:color="000000" w:fill="D0CECE"/>
            <w:vAlign w:val="center"/>
            <w:hideMark/>
          </w:tcPr>
          <w:p w14:paraId="6E5B3A7C" w14:textId="77777777" w:rsidR="007D0510" w:rsidRPr="003A7C01" w:rsidRDefault="007D051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280,977</w:t>
            </w:r>
          </w:p>
        </w:tc>
        <w:tc>
          <w:tcPr>
            <w:tcW w:w="1638" w:type="dxa"/>
            <w:tcBorders>
              <w:top w:val="nil"/>
              <w:left w:val="nil"/>
              <w:bottom w:val="single" w:sz="4" w:space="0" w:color="auto"/>
              <w:right w:val="single" w:sz="4" w:space="0" w:color="auto"/>
            </w:tcBorders>
            <w:shd w:val="clear" w:color="000000" w:fill="FFFFFF"/>
            <w:vAlign w:val="center"/>
            <w:hideMark/>
          </w:tcPr>
          <w:p w14:paraId="3CDF9FAF" w14:textId="77777777" w:rsidR="007D0510" w:rsidRPr="003A7C01" w:rsidRDefault="007D051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N/A</w:t>
            </w:r>
          </w:p>
        </w:tc>
      </w:tr>
    </w:tbl>
    <w:p w14:paraId="19426905" w14:textId="26C589DD" w:rsidR="007D0510" w:rsidRPr="00DD2C89" w:rsidRDefault="007D0510" w:rsidP="007D0510">
      <w:pPr>
        <w:rPr>
          <w:lang w:eastAsia="en-AU"/>
        </w:rPr>
      </w:pPr>
      <w:r>
        <w:rPr>
          <w:rStyle w:val="FootnoteReference"/>
        </w:rPr>
        <w:t>3</w:t>
      </w:r>
      <w:r>
        <w:t xml:space="preserve"> </w:t>
      </w:r>
      <w:r w:rsidRPr="0009722D">
        <w:rPr>
          <w:sz w:val="18"/>
          <w:szCs w:val="20"/>
        </w:rPr>
        <w:t>Engaged sessions are when a website session lasts longer than ten seconds, when a session includes at least one conversion, or when a session includes two or more page views.</w:t>
      </w:r>
    </w:p>
    <w:p w14:paraId="09A2CD5F" w14:textId="77777777" w:rsidR="00F40F30" w:rsidRPr="00DE19B0" w:rsidRDefault="00F40F30" w:rsidP="00F40F30">
      <w:pPr>
        <w:rPr>
          <w:rFonts w:asciiTheme="minorHAnsi" w:eastAsiaTheme="minorHAnsi" w:hAnsiTheme="minorHAnsi" w:cstheme="minorBidi"/>
          <w:sz w:val="24"/>
          <w:lang w:val="en-GB"/>
        </w:rPr>
      </w:pPr>
      <w:r>
        <w:rPr>
          <w:lang w:eastAsia="en-AU"/>
        </w:rPr>
        <w:t xml:space="preserve">VLA provides specialist non-legal services that help people advocate for themselves and inform people and communities of their rights when it comes to both the mental health and the child protection systems. </w:t>
      </w:r>
    </w:p>
    <w:p w14:paraId="45AD6385" w14:textId="0F924307" w:rsidR="00F40F30" w:rsidRDefault="00F40F30" w:rsidP="00F40F30">
      <w:pPr>
        <w:rPr>
          <w:lang w:eastAsia="en-AU"/>
        </w:rPr>
      </w:pPr>
      <w:r w:rsidRPr="00BB0F84">
        <w:rPr>
          <w:lang w:eastAsia="en-AU"/>
        </w:rPr>
        <w:t>People undergoing compulsory mental health treatments are now required to opt</w:t>
      </w:r>
      <w:r>
        <w:rPr>
          <w:lang w:eastAsia="en-AU"/>
        </w:rPr>
        <w:t xml:space="preserve"> </w:t>
      </w:r>
      <w:r w:rsidRPr="00BB0F84">
        <w:rPr>
          <w:lang w:eastAsia="en-AU"/>
        </w:rPr>
        <w:t xml:space="preserve">out of our Independent Mental Health Advocacy (IMHA) service. This has led to a large increase in demand for </w:t>
      </w:r>
      <w:r w:rsidRPr="00BB0F84">
        <w:rPr>
          <w:lang w:eastAsia="en-AU"/>
        </w:rPr>
        <w:lastRenderedPageBreak/>
        <w:t>our services.</w:t>
      </w:r>
      <w:r>
        <w:rPr>
          <w:lang w:eastAsia="en-AU"/>
        </w:rPr>
        <w:t xml:space="preserve"> In quarter three 2023-24, we saw </w:t>
      </w:r>
      <w:r w:rsidRPr="00FF0FFA">
        <w:rPr>
          <w:lang w:eastAsia="en-AU"/>
        </w:rPr>
        <w:t>a 28</w:t>
      </w:r>
      <w:r>
        <w:rPr>
          <w:lang w:eastAsia="en-AU"/>
        </w:rPr>
        <w:t> </w:t>
      </w:r>
      <w:r w:rsidRPr="00FF0FFA">
        <w:rPr>
          <w:lang w:eastAsia="en-AU"/>
        </w:rPr>
        <w:t>per</w:t>
      </w:r>
      <w:r>
        <w:rPr>
          <w:lang w:eastAsia="en-AU"/>
        </w:rPr>
        <w:noBreakHyphen/>
      </w:r>
      <w:r w:rsidRPr="00FF0FFA">
        <w:rPr>
          <w:lang w:eastAsia="en-AU"/>
        </w:rPr>
        <w:t xml:space="preserve">cent increase in both the number of IMHA information and referral sessions, as well as advocacy and self-advocacy services (Table 1.3). </w:t>
      </w:r>
      <w:r w:rsidRPr="00CF30CC">
        <w:rPr>
          <w:lang w:eastAsia="en-AU"/>
        </w:rPr>
        <w:t xml:space="preserve">We anticipate that these results will continue to increase </w:t>
      </w:r>
      <w:r>
        <w:rPr>
          <w:lang w:eastAsia="en-AU"/>
        </w:rPr>
        <w:t>next quarter as we continue to reach out to consumers through in</w:t>
      </w:r>
      <w:r>
        <w:rPr>
          <w:lang w:eastAsia="en-AU"/>
        </w:rPr>
        <w:noBreakHyphen/>
        <w:t xml:space="preserve">service visits. </w:t>
      </w:r>
    </w:p>
    <w:p w14:paraId="27CFAD06" w14:textId="77777777" w:rsidR="00F40F30" w:rsidRPr="00F55AF5" w:rsidRDefault="00F40F30" w:rsidP="00F40F30">
      <w:pPr>
        <w:rPr>
          <w:lang w:eastAsia="en-AU"/>
        </w:rPr>
      </w:pPr>
      <w:r w:rsidRPr="00F55AF5">
        <w:rPr>
          <w:lang w:eastAsia="en-AU"/>
        </w:rPr>
        <w:t xml:space="preserve">The quarter three results for the Independent Family Advocacy and Support (IFAS) services were higher than quarter two. This was partly due to staffing levels returning to full capacity, with our advocates coming back from leave and vacant positions being filled. </w:t>
      </w:r>
      <w:r>
        <w:rPr>
          <w:lang w:eastAsia="en-AU"/>
        </w:rPr>
        <w:t>Q</w:t>
      </w:r>
      <w:r w:rsidRPr="00F55AF5">
        <w:rPr>
          <w:lang w:eastAsia="en-AU"/>
        </w:rPr>
        <w:t>uarter</w:t>
      </w:r>
      <w:r>
        <w:rPr>
          <w:lang w:eastAsia="en-AU"/>
        </w:rPr>
        <w:t xml:space="preserve"> three</w:t>
      </w:r>
      <w:r w:rsidRPr="00F55AF5">
        <w:rPr>
          <w:lang w:eastAsia="en-AU"/>
        </w:rPr>
        <w:t xml:space="preserve"> also f</w:t>
      </w:r>
      <w:r>
        <w:rPr>
          <w:lang w:eastAsia="en-AU"/>
        </w:rPr>
        <w:t xml:space="preserve">alls within a busy period of the year for </w:t>
      </w:r>
      <w:r w:rsidRPr="00F55AF5">
        <w:rPr>
          <w:lang w:eastAsia="en-AU"/>
        </w:rPr>
        <w:t>Child Protection matters as schools are</w:t>
      </w:r>
      <w:r>
        <w:rPr>
          <w:lang w:eastAsia="en-AU"/>
        </w:rPr>
        <w:t xml:space="preserve"> back f</w:t>
      </w:r>
      <w:r w:rsidRPr="00F55AF5">
        <w:rPr>
          <w:lang w:eastAsia="en-AU"/>
        </w:rPr>
        <w:t>rom holidays. We are anticipating</w:t>
      </w:r>
      <w:r>
        <w:rPr>
          <w:lang w:eastAsia="en-AU"/>
        </w:rPr>
        <w:t xml:space="preserve"> that </w:t>
      </w:r>
      <w:r w:rsidRPr="00F55AF5">
        <w:rPr>
          <w:lang w:eastAsia="en-AU"/>
        </w:rPr>
        <w:t>there will be a slight increase next quarter due to an</w:t>
      </w:r>
      <w:r>
        <w:rPr>
          <w:lang w:eastAsia="en-AU"/>
        </w:rPr>
        <w:t xml:space="preserve"> anticipated </w:t>
      </w:r>
      <w:r w:rsidRPr="00F55AF5">
        <w:rPr>
          <w:lang w:eastAsia="en-AU"/>
        </w:rPr>
        <w:t xml:space="preserve">increase in community education and </w:t>
      </w:r>
      <w:r>
        <w:rPr>
          <w:lang w:eastAsia="en-AU"/>
        </w:rPr>
        <w:t xml:space="preserve">the </w:t>
      </w:r>
      <w:r w:rsidRPr="00F55AF5">
        <w:rPr>
          <w:lang w:eastAsia="en-AU"/>
        </w:rPr>
        <w:t xml:space="preserve">promotion of IFAS services. </w:t>
      </w:r>
    </w:p>
    <w:p w14:paraId="652D927F" w14:textId="77777777" w:rsidR="00F40F30" w:rsidRPr="004D2B4E" w:rsidRDefault="00F40F30" w:rsidP="004D2B4E">
      <w:pPr>
        <w:pStyle w:val="Tableheader"/>
      </w:pPr>
      <w:r w:rsidRPr="004D2B4E">
        <w:t>Table 1.3 Specialist resolution and advocacy services</w:t>
      </w:r>
    </w:p>
    <w:tbl>
      <w:tblPr>
        <w:tblW w:w="9828" w:type="dxa"/>
        <w:tblLook w:val="04A0" w:firstRow="1" w:lastRow="0" w:firstColumn="1" w:lastColumn="0" w:noHBand="0" w:noVBand="1"/>
      </w:tblPr>
      <w:tblGrid>
        <w:gridCol w:w="4158"/>
        <w:gridCol w:w="1890"/>
        <w:gridCol w:w="1890"/>
        <w:gridCol w:w="1890"/>
      </w:tblGrid>
      <w:tr w:rsidR="00F40F30" w:rsidRPr="003A7C01" w14:paraId="3AFCE2BF" w14:textId="77777777" w:rsidTr="00417688">
        <w:trPr>
          <w:trHeight w:val="333"/>
        </w:trPr>
        <w:tc>
          <w:tcPr>
            <w:tcW w:w="4158" w:type="dxa"/>
            <w:vMerge w:val="restart"/>
            <w:tcBorders>
              <w:top w:val="single" w:sz="4" w:space="0" w:color="auto"/>
              <w:left w:val="single" w:sz="4" w:space="0" w:color="auto"/>
              <w:bottom w:val="single" w:sz="4" w:space="0" w:color="auto"/>
              <w:right w:val="single" w:sz="4" w:space="0" w:color="auto"/>
            </w:tcBorders>
            <w:shd w:val="clear" w:color="000000" w:fill="B59CC0"/>
            <w:vAlign w:val="center"/>
            <w:hideMark/>
          </w:tcPr>
          <w:p w14:paraId="5493D907" w14:textId="77777777" w:rsidR="00F40F30" w:rsidRPr="003A7C01" w:rsidRDefault="00F40F30" w:rsidP="00417688">
            <w:pPr>
              <w:rPr>
                <w:rFonts w:cs="Arial"/>
                <w:b/>
                <w:bCs/>
                <w:color w:val="000000"/>
                <w:szCs w:val="22"/>
                <w:lang w:eastAsia="zh-CN" w:bidi="th-TH"/>
              </w:rPr>
            </w:pPr>
            <w:r w:rsidRPr="003A7C01">
              <w:rPr>
                <w:rFonts w:cs="Arial"/>
                <w:b/>
                <w:bCs/>
                <w:color w:val="000000"/>
                <w:szCs w:val="22"/>
                <w:lang w:eastAsia="zh-CN" w:bidi="th-TH"/>
              </w:rPr>
              <w:t>Specialist resolution and advocacy services</w:t>
            </w:r>
          </w:p>
        </w:tc>
        <w:tc>
          <w:tcPr>
            <w:tcW w:w="1890" w:type="dxa"/>
            <w:tcBorders>
              <w:top w:val="single" w:sz="4" w:space="0" w:color="auto"/>
              <w:left w:val="single" w:sz="4" w:space="0" w:color="auto"/>
              <w:bottom w:val="nil"/>
              <w:right w:val="single" w:sz="4" w:space="0" w:color="auto"/>
            </w:tcBorders>
            <w:shd w:val="clear" w:color="000000" w:fill="B59CC0"/>
            <w:vAlign w:val="center"/>
            <w:hideMark/>
          </w:tcPr>
          <w:p w14:paraId="46F9B4CA" w14:textId="77777777" w:rsidR="00F40F30" w:rsidRPr="003A7C01" w:rsidRDefault="00F40F3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Q2</w:t>
            </w:r>
          </w:p>
        </w:tc>
        <w:tc>
          <w:tcPr>
            <w:tcW w:w="1890" w:type="dxa"/>
            <w:tcBorders>
              <w:top w:val="single" w:sz="4" w:space="0" w:color="auto"/>
              <w:left w:val="nil"/>
              <w:bottom w:val="nil"/>
              <w:right w:val="single" w:sz="4" w:space="0" w:color="auto"/>
            </w:tcBorders>
            <w:shd w:val="clear" w:color="000000" w:fill="B59CC0"/>
            <w:vAlign w:val="center"/>
            <w:hideMark/>
          </w:tcPr>
          <w:p w14:paraId="74997BA7" w14:textId="77777777" w:rsidR="00F40F30" w:rsidRPr="003A7C01" w:rsidRDefault="00F40F3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Q3</w:t>
            </w:r>
          </w:p>
        </w:tc>
        <w:tc>
          <w:tcPr>
            <w:tcW w:w="1890" w:type="dxa"/>
            <w:tcBorders>
              <w:top w:val="single" w:sz="4" w:space="0" w:color="auto"/>
              <w:left w:val="nil"/>
              <w:bottom w:val="nil"/>
              <w:right w:val="single" w:sz="4" w:space="0" w:color="auto"/>
            </w:tcBorders>
            <w:shd w:val="clear" w:color="000000" w:fill="B59CC0"/>
            <w:vAlign w:val="center"/>
            <w:hideMark/>
          </w:tcPr>
          <w:p w14:paraId="3F29A071" w14:textId="77777777" w:rsidR="00F40F30" w:rsidRPr="003A7C01" w:rsidRDefault="00F40F3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Q4 2023-24</w:t>
            </w:r>
          </w:p>
        </w:tc>
      </w:tr>
      <w:tr w:rsidR="00F40F30" w:rsidRPr="003A7C01" w14:paraId="32BD91C1" w14:textId="77777777" w:rsidTr="00417688">
        <w:trPr>
          <w:trHeight w:val="333"/>
        </w:trPr>
        <w:tc>
          <w:tcPr>
            <w:tcW w:w="4158" w:type="dxa"/>
            <w:vMerge/>
            <w:tcBorders>
              <w:top w:val="single" w:sz="4" w:space="0" w:color="auto"/>
              <w:left w:val="single" w:sz="4" w:space="0" w:color="auto"/>
              <w:bottom w:val="single" w:sz="4" w:space="0" w:color="auto"/>
              <w:right w:val="single" w:sz="4" w:space="0" w:color="auto"/>
            </w:tcBorders>
            <w:vAlign w:val="center"/>
            <w:hideMark/>
          </w:tcPr>
          <w:p w14:paraId="12938F1C" w14:textId="77777777" w:rsidR="00F40F30" w:rsidRPr="003A7C01" w:rsidRDefault="00F40F30" w:rsidP="00417688">
            <w:pPr>
              <w:spacing w:after="0" w:line="240" w:lineRule="auto"/>
              <w:rPr>
                <w:rFonts w:cs="Arial"/>
                <w:b/>
                <w:bCs/>
                <w:color w:val="000000"/>
                <w:szCs w:val="22"/>
                <w:lang w:eastAsia="zh-CN" w:bidi="th-TH"/>
              </w:rPr>
            </w:pPr>
          </w:p>
        </w:tc>
        <w:tc>
          <w:tcPr>
            <w:tcW w:w="1890" w:type="dxa"/>
            <w:tcBorders>
              <w:top w:val="nil"/>
              <w:left w:val="single" w:sz="4" w:space="0" w:color="auto"/>
              <w:bottom w:val="single" w:sz="4" w:space="0" w:color="auto"/>
              <w:right w:val="single" w:sz="4" w:space="0" w:color="auto"/>
            </w:tcBorders>
            <w:shd w:val="clear" w:color="000000" w:fill="B59CC0"/>
            <w:vAlign w:val="center"/>
            <w:hideMark/>
          </w:tcPr>
          <w:p w14:paraId="41E5D0DB" w14:textId="77777777" w:rsidR="00F40F30" w:rsidRPr="003A7C01" w:rsidRDefault="00F40F3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890" w:type="dxa"/>
            <w:tcBorders>
              <w:top w:val="nil"/>
              <w:left w:val="nil"/>
              <w:bottom w:val="single" w:sz="4" w:space="0" w:color="auto"/>
              <w:right w:val="single" w:sz="4" w:space="0" w:color="auto"/>
            </w:tcBorders>
            <w:shd w:val="clear" w:color="000000" w:fill="B59CC0"/>
            <w:vAlign w:val="center"/>
            <w:hideMark/>
          </w:tcPr>
          <w:p w14:paraId="288A376E" w14:textId="77777777" w:rsidR="00F40F30" w:rsidRPr="003A7C01" w:rsidRDefault="00F40F3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890" w:type="dxa"/>
            <w:tcBorders>
              <w:top w:val="nil"/>
              <w:left w:val="nil"/>
              <w:bottom w:val="single" w:sz="4" w:space="0" w:color="auto"/>
              <w:right w:val="single" w:sz="4" w:space="0" w:color="auto"/>
            </w:tcBorders>
            <w:shd w:val="clear" w:color="000000" w:fill="B59CC0"/>
            <w:vAlign w:val="center"/>
            <w:hideMark/>
          </w:tcPr>
          <w:p w14:paraId="597D3094" w14:textId="77777777" w:rsidR="00F40F30" w:rsidRPr="003A7C01" w:rsidRDefault="00F40F3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projection</w:t>
            </w:r>
          </w:p>
        </w:tc>
      </w:tr>
      <w:tr w:rsidR="00F40F30" w:rsidRPr="003A7C01" w14:paraId="545CB9D9" w14:textId="77777777" w:rsidTr="00417688">
        <w:trPr>
          <w:trHeight w:val="856"/>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2D8D79D9" w14:textId="77777777" w:rsidR="00F40F30" w:rsidRPr="003A7C01" w:rsidRDefault="00F40F30" w:rsidP="00417688">
            <w:pPr>
              <w:spacing w:after="0" w:line="240" w:lineRule="auto"/>
              <w:rPr>
                <w:rFonts w:cs="Arial"/>
                <w:color w:val="000000"/>
                <w:szCs w:val="22"/>
                <w:lang w:eastAsia="zh-CN" w:bidi="th-TH"/>
              </w:rPr>
            </w:pPr>
            <w:r w:rsidRPr="003A7C01">
              <w:rPr>
                <w:rFonts w:cs="Arial"/>
                <w:color w:val="000000"/>
                <w:szCs w:val="22"/>
                <w:lang w:eastAsia="zh-CN" w:bidi="th-TH"/>
              </w:rPr>
              <w:t>IMHA information and referral sessions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2788406B" w14:textId="77777777" w:rsidR="00F40F30" w:rsidRPr="003A7C01" w:rsidRDefault="00F40F3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10,714</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311C0065" w14:textId="77777777" w:rsidR="00F40F30" w:rsidRPr="003A7C01" w:rsidRDefault="00F40F3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13,730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A47ED06" w14:textId="77777777" w:rsidR="00F40F30" w:rsidRPr="003A7C01" w:rsidRDefault="00F40F3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14,000</w:t>
            </w:r>
          </w:p>
        </w:tc>
      </w:tr>
      <w:tr w:rsidR="00F40F30" w:rsidRPr="003A7C01" w14:paraId="46E9D18E" w14:textId="77777777" w:rsidTr="00417688">
        <w:trPr>
          <w:trHeight w:val="856"/>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04529C4B" w14:textId="77777777" w:rsidR="00F40F30" w:rsidRPr="003A7C01" w:rsidRDefault="00F40F30" w:rsidP="00417688">
            <w:pPr>
              <w:spacing w:after="0" w:line="240" w:lineRule="auto"/>
              <w:rPr>
                <w:rFonts w:cs="Arial"/>
                <w:color w:val="000000"/>
                <w:szCs w:val="22"/>
                <w:lang w:eastAsia="zh-CN" w:bidi="th-TH"/>
              </w:rPr>
            </w:pPr>
            <w:r w:rsidRPr="003A7C01">
              <w:rPr>
                <w:rFonts w:cs="Arial"/>
                <w:color w:val="000000"/>
                <w:szCs w:val="22"/>
                <w:lang w:eastAsia="zh-CN" w:bidi="th-TH"/>
              </w:rPr>
              <w:t>IMHA advocacy and self-advocacy</w:t>
            </w:r>
          </w:p>
        </w:tc>
        <w:tc>
          <w:tcPr>
            <w:tcW w:w="1890" w:type="dxa"/>
            <w:tcBorders>
              <w:top w:val="nil"/>
              <w:left w:val="nil"/>
              <w:bottom w:val="single" w:sz="4" w:space="0" w:color="auto"/>
              <w:right w:val="single" w:sz="4" w:space="0" w:color="auto"/>
            </w:tcBorders>
            <w:shd w:val="clear" w:color="auto" w:fill="auto"/>
            <w:vAlign w:val="center"/>
            <w:hideMark/>
          </w:tcPr>
          <w:p w14:paraId="70429048" w14:textId="77777777" w:rsidR="00F40F30" w:rsidRPr="003A7C01" w:rsidRDefault="00F40F3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9,873</w:t>
            </w:r>
          </w:p>
        </w:tc>
        <w:tc>
          <w:tcPr>
            <w:tcW w:w="1890" w:type="dxa"/>
            <w:tcBorders>
              <w:top w:val="nil"/>
              <w:left w:val="nil"/>
              <w:bottom w:val="single" w:sz="4" w:space="0" w:color="auto"/>
              <w:right w:val="single" w:sz="4" w:space="0" w:color="auto"/>
            </w:tcBorders>
            <w:shd w:val="clear" w:color="000000" w:fill="D9D9D9"/>
            <w:vAlign w:val="center"/>
            <w:hideMark/>
          </w:tcPr>
          <w:p w14:paraId="44A60C59" w14:textId="77777777" w:rsidR="00F40F30" w:rsidRPr="003A7C01" w:rsidRDefault="00F40F3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12,602</w:t>
            </w:r>
          </w:p>
        </w:tc>
        <w:tc>
          <w:tcPr>
            <w:tcW w:w="1890" w:type="dxa"/>
            <w:tcBorders>
              <w:top w:val="nil"/>
              <w:left w:val="nil"/>
              <w:bottom w:val="single" w:sz="4" w:space="0" w:color="auto"/>
              <w:right w:val="single" w:sz="4" w:space="0" w:color="auto"/>
            </w:tcBorders>
            <w:shd w:val="clear" w:color="auto" w:fill="auto"/>
            <w:vAlign w:val="center"/>
            <w:hideMark/>
          </w:tcPr>
          <w:p w14:paraId="31348547" w14:textId="77777777" w:rsidR="00F40F30" w:rsidRPr="003A7C01" w:rsidRDefault="00F40F3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13,000</w:t>
            </w:r>
          </w:p>
        </w:tc>
      </w:tr>
      <w:tr w:rsidR="00F40F30" w:rsidRPr="003A7C01" w14:paraId="533F6A55" w14:textId="77777777" w:rsidTr="00417688">
        <w:trPr>
          <w:trHeight w:val="856"/>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1319097C" w14:textId="77777777" w:rsidR="00F40F30" w:rsidRPr="003A7C01" w:rsidRDefault="00F40F30" w:rsidP="00417688">
            <w:pPr>
              <w:spacing w:after="0" w:line="240" w:lineRule="auto"/>
              <w:rPr>
                <w:rFonts w:cs="Arial"/>
                <w:color w:val="000000"/>
                <w:szCs w:val="22"/>
                <w:lang w:eastAsia="zh-CN" w:bidi="th-TH"/>
              </w:rPr>
            </w:pPr>
            <w:r w:rsidRPr="003A7C01">
              <w:rPr>
                <w:rFonts w:cs="Arial"/>
                <w:color w:val="000000"/>
                <w:szCs w:val="22"/>
                <w:lang w:eastAsia="zh-CN" w:bidi="th-TH"/>
              </w:rPr>
              <w:t xml:space="preserve">IFAS information and referral sessions </w:t>
            </w:r>
          </w:p>
        </w:tc>
        <w:tc>
          <w:tcPr>
            <w:tcW w:w="1890" w:type="dxa"/>
            <w:tcBorders>
              <w:top w:val="nil"/>
              <w:left w:val="nil"/>
              <w:bottom w:val="single" w:sz="4" w:space="0" w:color="auto"/>
              <w:right w:val="single" w:sz="4" w:space="0" w:color="auto"/>
            </w:tcBorders>
            <w:shd w:val="clear" w:color="auto" w:fill="auto"/>
            <w:vAlign w:val="center"/>
            <w:hideMark/>
          </w:tcPr>
          <w:p w14:paraId="428D85CE" w14:textId="77777777" w:rsidR="00F40F30" w:rsidRPr="003A7C01" w:rsidRDefault="00F40F3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533</w:t>
            </w:r>
          </w:p>
        </w:tc>
        <w:tc>
          <w:tcPr>
            <w:tcW w:w="1890" w:type="dxa"/>
            <w:tcBorders>
              <w:top w:val="nil"/>
              <w:left w:val="nil"/>
              <w:bottom w:val="single" w:sz="4" w:space="0" w:color="auto"/>
              <w:right w:val="single" w:sz="4" w:space="0" w:color="auto"/>
            </w:tcBorders>
            <w:shd w:val="clear" w:color="000000" w:fill="D9D9D9"/>
            <w:vAlign w:val="center"/>
            <w:hideMark/>
          </w:tcPr>
          <w:p w14:paraId="4A530CAC" w14:textId="77777777" w:rsidR="00F40F30" w:rsidRPr="003A7C01" w:rsidRDefault="00F40F3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854</w:t>
            </w:r>
          </w:p>
        </w:tc>
        <w:tc>
          <w:tcPr>
            <w:tcW w:w="1890" w:type="dxa"/>
            <w:tcBorders>
              <w:top w:val="nil"/>
              <w:left w:val="nil"/>
              <w:bottom w:val="single" w:sz="4" w:space="0" w:color="auto"/>
              <w:right w:val="single" w:sz="4" w:space="0" w:color="auto"/>
            </w:tcBorders>
            <w:shd w:val="clear" w:color="auto" w:fill="auto"/>
            <w:vAlign w:val="center"/>
            <w:hideMark/>
          </w:tcPr>
          <w:p w14:paraId="6F19FE58" w14:textId="77777777" w:rsidR="00F40F30" w:rsidRPr="003A7C01" w:rsidRDefault="00F40F3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900</w:t>
            </w:r>
          </w:p>
        </w:tc>
      </w:tr>
      <w:tr w:rsidR="00F40F30" w:rsidRPr="003A7C01" w14:paraId="5F5037E4" w14:textId="77777777" w:rsidTr="00417688">
        <w:trPr>
          <w:trHeight w:val="856"/>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42DF1C2A" w14:textId="77777777" w:rsidR="00F40F30" w:rsidRPr="003A7C01" w:rsidRDefault="00F40F30" w:rsidP="00417688">
            <w:pPr>
              <w:spacing w:after="0" w:line="240" w:lineRule="auto"/>
              <w:rPr>
                <w:rFonts w:cs="Arial"/>
                <w:color w:val="000000"/>
                <w:szCs w:val="22"/>
                <w:lang w:eastAsia="zh-CN" w:bidi="th-TH"/>
              </w:rPr>
            </w:pPr>
            <w:r w:rsidRPr="003A7C01">
              <w:rPr>
                <w:rFonts w:cs="Arial"/>
                <w:color w:val="000000"/>
                <w:szCs w:val="22"/>
                <w:lang w:eastAsia="zh-CN" w:bidi="th-TH"/>
              </w:rPr>
              <w:t>IFAS advocacy and self-advocacy</w:t>
            </w:r>
          </w:p>
        </w:tc>
        <w:tc>
          <w:tcPr>
            <w:tcW w:w="1890" w:type="dxa"/>
            <w:tcBorders>
              <w:top w:val="nil"/>
              <w:left w:val="nil"/>
              <w:bottom w:val="single" w:sz="4" w:space="0" w:color="auto"/>
              <w:right w:val="single" w:sz="4" w:space="0" w:color="auto"/>
            </w:tcBorders>
            <w:shd w:val="clear" w:color="auto" w:fill="auto"/>
            <w:vAlign w:val="center"/>
            <w:hideMark/>
          </w:tcPr>
          <w:p w14:paraId="04485692" w14:textId="77777777" w:rsidR="00F40F30" w:rsidRPr="003A7C01" w:rsidRDefault="00F40F3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534</w:t>
            </w:r>
          </w:p>
        </w:tc>
        <w:tc>
          <w:tcPr>
            <w:tcW w:w="1890" w:type="dxa"/>
            <w:tcBorders>
              <w:top w:val="nil"/>
              <w:left w:val="nil"/>
              <w:bottom w:val="single" w:sz="4" w:space="0" w:color="auto"/>
              <w:right w:val="single" w:sz="4" w:space="0" w:color="auto"/>
            </w:tcBorders>
            <w:shd w:val="clear" w:color="000000" w:fill="D9D9D9"/>
            <w:vAlign w:val="center"/>
            <w:hideMark/>
          </w:tcPr>
          <w:p w14:paraId="662DD450" w14:textId="77777777" w:rsidR="00F40F30" w:rsidRPr="003A7C01" w:rsidRDefault="00F40F3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730</w:t>
            </w:r>
          </w:p>
        </w:tc>
        <w:tc>
          <w:tcPr>
            <w:tcW w:w="1890" w:type="dxa"/>
            <w:tcBorders>
              <w:top w:val="nil"/>
              <w:left w:val="nil"/>
              <w:bottom w:val="single" w:sz="4" w:space="0" w:color="auto"/>
              <w:right w:val="single" w:sz="4" w:space="0" w:color="auto"/>
            </w:tcBorders>
            <w:shd w:val="clear" w:color="auto" w:fill="auto"/>
            <w:vAlign w:val="center"/>
            <w:hideMark/>
          </w:tcPr>
          <w:p w14:paraId="0736E086" w14:textId="77777777" w:rsidR="00F40F30" w:rsidRPr="003A7C01" w:rsidRDefault="00F40F3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750</w:t>
            </w:r>
          </w:p>
        </w:tc>
      </w:tr>
    </w:tbl>
    <w:p w14:paraId="4B50D7AB" w14:textId="677FF125" w:rsidR="009656BE" w:rsidRPr="004867C2" w:rsidRDefault="009656BE" w:rsidP="009656BE">
      <w:pPr>
        <w:pStyle w:val="Heading2"/>
        <w:rPr>
          <w:rFonts w:cs="Times New Roman"/>
          <w:i/>
        </w:rPr>
      </w:pPr>
      <w:r w:rsidRPr="79F055BD">
        <w:rPr>
          <w:rFonts w:eastAsia="Arial Bold"/>
        </w:rPr>
        <w:t>Finan</w:t>
      </w:r>
      <w:r>
        <w:rPr>
          <w:rFonts w:eastAsia="Arial Bold"/>
        </w:rPr>
        <w:t>c</w:t>
      </w:r>
      <w:r w:rsidRPr="79F055BD">
        <w:rPr>
          <w:rFonts w:eastAsia="Arial Bold"/>
        </w:rPr>
        <w:t xml:space="preserve">ial </w:t>
      </w:r>
      <w:r w:rsidR="004D2B4E">
        <w:rPr>
          <w:rFonts w:eastAsia="Arial Bold"/>
        </w:rPr>
        <w:t>s</w:t>
      </w:r>
      <w:r w:rsidRPr="79F055BD">
        <w:rPr>
          <w:rFonts w:eastAsia="Arial Bold"/>
        </w:rPr>
        <w:t>ummary</w:t>
      </w:r>
    </w:p>
    <w:p w14:paraId="776EA6DD" w14:textId="5D730020" w:rsidR="009656BE" w:rsidRDefault="009656BE" w:rsidP="009656BE">
      <w:pPr>
        <w:rPr>
          <w:rFonts w:cs="Arial"/>
          <w:lang w:eastAsia="en-AU"/>
        </w:rPr>
      </w:pPr>
      <w:r w:rsidRPr="001B4DCD">
        <w:t>In quarter three 2023-24, our consolidated operating position was a surplus of $6.1 million.</w:t>
      </w:r>
      <w:r>
        <w:t xml:space="preserve"> A </w:t>
      </w:r>
      <w:r w:rsidRPr="00A7532B">
        <w:t xml:space="preserve">surplus in initiative </w:t>
      </w:r>
      <w:r w:rsidR="007648D4">
        <w:t xml:space="preserve">or project </w:t>
      </w:r>
      <w:r w:rsidRPr="00A7532B">
        <w:t>funding</w:t>
      </w:r>
      <w:r>
        <w:t xml:space="preserve"> remains the </w:t>
      </w:r>
      <w:r w:rsidR="006832A5">
        <w:t>driver</w:t>
      </w:r>
      <w:r>
        <w:t xml:space="preserve"> to the consolidated surplus result. </w:t>
      </w:r>
      <w:bookmarkStart w:id="4" w:name="_Hlk164844613"/>
      <w:r w:rsidRPr="00A7532B">
        <w:t>Initiative funding</w:t>
      </w:r>
      <w:r>
        <w:t xml:space="preserve"> continues to be a significant portion of our </w:t>
      </w:r>
      <w:r w:rsidRPr="00A7532B">
        <w:t>overall funding</w:t>
      </w:r>
      <w:r>
        <w:t xml:space="preserve"> and</w:t>
      </w:r>
      <w:r w:rsidRPr="00A7532B">
        <w:t xml:space="preserve"> is fully committed to deliver</w:t>
      </w:r>
      <w:r>
        <w:t>ing</w:t>
      </w:r>
      <w:r w:rsidRPr="00A7532B">
        <w:t xml:space="preserve"> </w:t>
      </w:r>
      <w:r>
        <w:t>our projects in addition to our base funding for core services</w:t>
      </w:r>
      <w:r w:rsidRPr="00A7532B">
        <w:t>.</w:t>
      </w:r>
      <w:r>
        <w:t xml:space="preserve"> </w:t>
      </w:r>
      <w:bookmarkEnd w:id="4"/>
      <w:r>
        <w:t>There is, however, often a timing difference between when the funding is received and when the expenditure is incurred. Expenditure is largely aligned with court activity, which can span multiple years and result in a surplus in the first year of funding.</w:t>
      </w:r>
      <w:r w:rsidRPr="00F23F78">
        <w:rPr>
          <w:rFonts w:cs="Arial"/>
          <w:lang w:eastAsia="en-AU"/>
        </w:rPr>
        <w:t xml:space="preserve"> </w:t>
      </w:r>
      <w:r w:rsidR="006832A5">
        <w:rPr>
          <w:rFonts w:cs="Arial"/>
          <w:lang w:eastAsia="en-AU"/>
        </w:rPr>
        <w:t>As a result, we are expecting a surplus in initiative funding at the end of the financial year</w:t>
      </w:r>
      <w:r w:rsidR="00CE20FF">
        <w:rPr>
          <w:rFonts w:cs="Arial"/>
          <w:lang w:eastAsia="en-AU"/>
        </w:rPr>
        <w:t xml:space="preserve">, </w:t>
      </w:r>
      <w:r w:rsidR="006832A5">
        <w:rPr>
          <w:rFonts w:cs="Arial"/>
          <w:lang w:eastAsia="en-AU"/>
        </w:rPr>
        <w:t>however</w:t>
      </w:r>
      <w:r w:rsidR="00CE20FF">
        <w:rPr>
          <w:rFonts w:cs="Arial"/>
          <w:lang w:eastAsia="en-AU"/>
        </w:rPr>
        <w:t xml:space="preserve"> </w:t>
      </w:r>
      <w:r w:rsidR="006832A5">
        <w:rPr>
          <w:rFonts w:cs="Arial"/>
          <w:lang w:eastAsia="en-AU"/>
        </w:rPr>
        <w:t xml:space="preserve">this is fully committed to meet service delivery demands.  </w:t>
      </w:r>
    </w:p>
    <w:p w14:paraId="24E7FBF8" w14:textId="04DE7C63" w:rsidR="009656BE" w:rsidRDefault="009656BE" w:rsidP="009656BE">
      <w:r>
        <w:t xml:space="preserve">Analysis shows demand for </w:t>
      </w:r>
      <w:r w:rsidR="006832A5">
        <w:t xml:space="preserve">our core </w:t>
      </w:r>
      <w:r>
        <w:t xml:space="preserve">services still exceeds our base funding levels with a projected base funding </w:t>
      </w:r>
      <w:r w:rsidR="006832A5">
        <w:t xml:space="preserve">deficit </w:t>
      </w:r>
      <w:r>
        <w:t xml:space="preserve">for the financial year. Our cash balance remains unusually high due to reduced court activity during the pandemic, and in the short term, we will use these funds to meet current demand. Our cash reserves need to be carefully managed to ensure we can continue to meet our existing grant commitments which span multiple years aligned with court activity.  </w:t>
      </w:r>
    </w:p>
    <w:p w14:paraId="72BA14CF" w14:textId="31144F4F" w:rsidR="009656BE" w:rsidRPr="00317463" w:rsidRDefault="001C3BEC" w:rsidP="009656BE">
      <w:r>
        <w:t xml:space="preserve">We project current cash balances will be sufficient to meet </w:t>
      </w:r>
      <w:r w:rsidR="00BC562F">
        <w:t xml:space="preserve">the projected </w:t>
      </w:r>
      <w:r>
        <w:t>deficit in 2024-25.</w:t>
      </w:r>
      <w:r w:rsidR="00CE20FF">
        <w:t xml:space="preserve"> </w:t>
      </w:r>
      <w:r>
        <w:t>However, l</w:t>
      </w:r>
      <w:r w:rsidR="009656BE">
        <w:t>ong-term projections continue to highlight that base funding is insufficient to meet the projected demand. Without additional funding</w:t>
      </w:r>
      <w:r>
        <w:t xml:space="preserve"> from 2025-26</w:t>
      </w:r>
      <w:r w:rsidR="009656BE">
        <w:t>, we will need to consider service reductions. Any service reductions would be for court-based services, following consultation with sector partners. We continue to work with the Victorian Department of Justice and Community Safety to resolve these financial sustainability challenges.</w:t>
      </w:r>
    </w:p>
    <w:p w14:paraId="67BD407C" w14:textId="77777777" w:rsidR="009656BE" w:rsidRPr="0084651F" w:rsidRDefault="009656BE" w:rsidP="0084651F">
      <w:pPr>
        <w:pStyle w:val="Tableheader"/>
      </w:pPr>
      <w:r w:rsidRPr="0084651F">
        <w:lastRenderedPageBreak/>
        <w:t xml:space="preserve">Table 2.1 Total revenue breakdown ($’000) </w:t>
      </w:r>
    </w:p>
    <w:tbl>
      <w:tblPr>
        <w:tblpPr w:leftFromText="180" w:rightFromText="180" w:vertAnchor="text" w:horzAnchor="margin" w:tblpY="72"/>
        <w:tblW w:w="9495" w:type="dxa"/>
        <w:tblLook w:val="04A0" w:firstRow="1" w:lastRow="0" w:firstColumn="1" w:lastColumn="0" w:noHBand="0" w:noVBand="1"/>
      </w:tblPr>
      <w:tblGrid>
        <w:gridCol w:w="4074"/>
        <w:gridCol w:w="1807"/>
        <w:gridCol w:w="1807"/>
        <w:gridCol w:w="1807"/>
      </w:tblGrid>
      <w:tr w:rsidR="00181C91" w:rsidRPr="003A7C01" w14:paraId="45218C06" w14:textId="77777777" w:rsidTr="00417688">
        <w:trPr>
          <w:trHeight w:val="200"/>
        </w:trPr>
        <w:tc>
          <w:tcPr>
            <w:tcW w:w="4074" w:type="dxa"/>
            <w:vMerge w:val="restart"/>
            <w:tcBorders>
              <w:top w:val="single" w:sz="4" w:space="0" w:color="auto"/>
              <w:left w:val="single" w:sz="4" w:space="0" w:color="auto"/>
              <w:bottom w:val="single" w:sz="4" w:space="0" w:color="auto"/>
              <w:right w:val="single" w:sz="4" w:space="0" w:color="auto"/>
            </w:tcBorders>
            <w:shd w:val="clear" w:color="000000" w:fill="B59CC0"/>
            <w:vAlign w:val="center"/>
            <w:hideMark/>
          </w:tcPr>
          <w:p w14:paraId="54E770F5" w14:textId="77777777" w:rsidR="00181C91" w:rsidRPr="003A7C01" w:rsidRDefault="00181C91" w:rsidP="00417688">
            <w:pPr>
              <w:spacing w:after="0" w:line="240" w:lineRule="auto"/>
              <w:rPr>
                <w:rFonts w:cs="Arial"/>
                <w:b/>
                <w:bCs/>
                <w:color w:val="000000"/>
                <w:szCs w:val="22"/>
                <w:lang w:eastAsia="zh-CN" w:bidi="th-TH"/>
              </w:rPr>
            </w:pPr>
            <w:r w:rsidRPr="003A7C01">
              <w:rPr>
                <w:rFonts w:cs="Arial"/>
                <w:b/>
                <w:bCs/>
                <w:color w:val="000000"/>
                <w:szCs w:val="22"/>
                <w:lang w:eastAsia="zh-CN" w:bidi="th-TH"/>
              </w:rPr>
              <w:t>Revenue</w:t>
            </w:r>
            <w:r w:rsidRPr="003A7C01">
              <w:rPr>
                <w:rFonts w:cs="Arial"/>
                <w:color w:val="000000"/>
                <w:szCs w:val="22"/>
                <w:lang w:eastAsia="zh-CN" w:bidi="th-TH"/>
              </w:rPr>
              <w:t> </w:t>
            </w:r>
          </w:p>
        </w:tc>
        <w:tc>
          <w:tcPr>
            <w:tcW w:w="1807" w:type="dxa"/>
            <w:tcBorders>
              <w:top w:val="single" w:sz="4" w:space="0" w:color="auto"/>
              <w:left w:val="single" w:sz="4" w:space="0" w:color="auto"/>
              <w:bottom w:val="nil"/>
              <w:right w:val="single" w:sz="4" w:space="0" w:color="auto"/>
            </w:tcBorders>
            <w:shd w:val="clear" w:color="000000" w:fill="B59CC0"/>
            <w:vAlign w:val="center"/>
            <w:hideMark/>
          </w:tcPr>
          <w:p w14:paraId="4DE53980" w14:textId="77777777" w:rsidR="00181C91" w:rsidRPr="003A7C01" w:rsidRDefault="00181C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Q2</w:t>
            </w:r>
          </w:p>
        </w:tc>
        <w:tc>
          <w:tcPr>
            <w:tcW w:w="1807" w:type="dxa"/>
            <w:tcBorders>
              <w:top w:val="single" w:sz="4" w:space="0" w:color="auto"/>
              <w:left w:val="nil"/>
              <w:bottom w:val="nil"/>
              <w:right w:val="single" w:sz="4" w:space="0" w:color="auto"/>
            </w:tcBorders>
            <w:shd w:val="clear" w:color="000000" w:fill="B59CC0"/>
            <w:vAlign w:val="center"/>
            <w:hideMark/>
          </w:tcPr>
          <w:p w14:paraId="6DDBBCD0" w14:textId="77777777" w:rsidR="00181C91" w:rsidRPr="003A7C01" w:rsidRDefault="00181C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Q3</w:t>
            </w:r>
          </w:p>
        </w:tc>
        <w:tc>
          <w:tcPr>
            <w:tcW w:w="1807" w:type="dxa"/>
            <w:tcBorders>
              <w:top w:val="single" w:sz="4" w:space="0" w:color="auto"/>
              <w:left w:val="nil"/>
              <w:bottom w:val="nil"/>
              <w:right w:val="single" w:sz="4" w:space="0" w:color="auto"/>
            </w:tcBorders>
            <w:shd w:val="clear" w:color="000000" w:fill="B59CC0"/>
            <w:vAlign w:val="center"/>
            <w:hideMark/>
          </w:tcPr>
          <w:p w14:paraId="21E7652F" w14:textId="77777777" w:rsidR="00181C91" w:rsidRPr="003A7C01" w:rsidRDefault="00181C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Q4 2023-24</w:t>
            </w:r>
          </w:p>
        </w:tc>
      </w:tr>
      <w:tr w:rsidR="00181C91" w:rsidRPr="003A7C01" w14:paraId="01DD16FE" w14:textId="77777777" w:rsidTr="00417688">
        <w:trPr>
          <w:trHeight w:val="200"/>
        </w:trPr>
        <w:tc>
          <w:tcPr>
            <w:tcW w:w="4074" w:type="dxa"/>
            <w:vMerge/>
            <w:tcBorders>
              <w:top w:val="single" w:sz="4" w:space="0" w:color="auto"/>
              <w:left w:val="single" w:sz="4" w:space="0" w:color="auto"/>
              <w:bottom w:val="single" w:sz="4" w:space="0" w:color="auto"/>
              <w:right w:val="single" w:sz="4" w:space="0" w:color="auto"/>
            </w:tcBorders>
            <w:vAlign w:val="center"/>
            <w:hideMark/>
          </w:tcPr>
          <w:p w14:paraId="330594C0" w14:textId="77777777" w:rsidR="00181C91" w:rsidRPr="003A7C01" w:rsidRDefault="00181C91" w:rsidP="00417688">
            <w:pPr>
              <w:spacing w:after="0" w:line="240" w:lineRule="auto"/>
              <w:rPr>
                <w:rFonts w:cs="Arial"/>
                <w:b/>
                <w:bCs/>
                <w:color w:val="000000"/>
                <w:szCs w:val="22"/>
                <w:lang w:eastAsia="zh-CN" w:bidi="th-TH"/>
              </w:rPr>
            </w:pPr>
          </w:p>
        </w:tc>
        <w:tc>
          <w:tcPr>
            <w:tcW w:w="1807" w:type="dxa"/>
            <w:tcBorders>
              <w:top w:val="nil"/>
              <w:left w:val="single" w:sz="4" w:space="0" w:color="auto"/>
              <w:bottom w:val="single" w:sz="4" w:space="0" w:color="auto"/>
              <w:right w:val="single" w:sz="4" w:space="0" w:color="auto"/>
            </w:tcBorders>
            <w:shd w:val="clear" w:color="000000" w:fill="B59CC0"/>
            <w:vAlign w:val="center"/>
            <w:hideMark/>
          </w:tcPr>
          <w:p w14:paraId="78286A08" w14:textId="77777777" w:rsidR="00181C91" w:rsidRPr="003A7C01" w:rsidRDefault="00181C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807" w:type="dxa"/>
            <w:tcBorders>
              <w:top w:val="nil"/>
              <w:left w:val="nil"/>
              <w:bottom w:val="single" w:sz="4" w:space="0" w:color="auto"/>
              <w:right w:val="single" w:sz="4" w:space="0" w:color="auto"/>
            </w:tcBorders>
            <w:shd w:val="clear" w:color="000000" w:fill="B59CC0"/>
            <w:vAlign w:val="center"/>
            <w:hideMark/>
          </w:tcPr>
          <w:p w14:paraId="41789E68" w14:textId="77777777" w:rsidR="00181C91" w:rsidRPr="003A7C01" w:rsidRDefault="00181C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807" w:type="dxa"/>
            <w:tcBorders>
              <w:top w:val="nil"/>
              <w:left w:val="nil"/>
              <w:bottom w:val="single" w:sz="4" w:space="0" w:color="auto"/>
              <w:right w:val="single" w:sz="4" w:space="0" w:color="auto"/>
            </w:tcBorders>
            <w:shd w:val="clear" w:color="000000" w:fill="B59CC0"/>
            <w:vAlign w:val="center"/>
            <w:hideMark/>
          </w:tcPr>
          <w:p w14:paraId="4B61CC07" w14:textId="77777777" w:rsidR="00181C91" w:rsidRPr="003A7C01" w:rsidRDefault="00181C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projection</w:t>
            </w:r>
          </w:p>
        </w:tc>
      </w:tr>
      <w:tr w:rsidR="00181C91" w:rsidRPr="003A7C01" w14:paraId="699DFD6F" w14:textId="77777777" w:rsidTr="00417688">
        <w:trPr>
          <w:trHeight w:val="515"/>
        </w:trPr>
        <w:tc>
          <w:tcPr>
            <w:tcW w:w="4074" w:type="dxa"/>
            <w:tcBorders>
              <w:top w:val="nil"/>
              <w:left w:val="single" w:sz="4" w:space="0" w:color="auto"/>
              <w:bottom w:val="single" w:sz="4" w:space="0" w:color="auto"/>
              <w:right w:val="single" w:sz="4" w:space="0" w:color="auto"/>
            </w:tcBorders>
            <w:shd w:val="clear" w:color="auto" w:fill="auto"/>
            <w:vAlign w:val="center"/>
            <w:hideMark/>
          </w:tcPr>
          <w:p w14:paraId="19C7B7B6" w14:textId="77777777" w:rsidR="00181C91" w:rsidRPr="003A7C01" w:rsidRDefault="00181C91" w:rsidP="00417688">
            <w:pPr>
              <w:spacing w:after="0" w:line="240" w:lineRule="auto"/>
              <w:rPr>
                <w:rFonts w:cs="Arial"/>
                <w:color w:val="000000"/>
                <w:szCs w:val="22"/>
                <w:lang w:eastAsia="zh-CN" w:bidi="th-TH"/>
              </w:rPr>
            </w:pPr>
            <w:r w:rsidRPr="003A7C01">
              <w:rPr>
                <w:rFonts w:cs="Arial"/>
                <w:color w:val="000000"/>
                <w:szCs w:val="22"/>
                <w:lang w:eastAsia="zh-CN" w:bidi="th-TH"/>
              </w:rPr>
              <w:t>Commonwealth – grants </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14:paraId="1DDF85C2"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 xml:space="preserve">           24,735 </w:t>
            </w:r>
          </w:p>
        </w:tc>
        <w:tc>
          <w:tcPr>
            <w:tcW w:w="1807" w:type="dxa"/>
            <w:tcBorders>
              <w:top w:val="single" w:sz="4" w:space="0" w:color="auto"/>
              <w:left w:val="nil"/>
              <w:bottom w:val="single" w:sz="4" w:space="0" w:color="auto"/>
              <w:right w:val="single" w:sz="4" w:space="0" w:color="auto"/>
            </w:tcBorders>
            <w:shd w:val="clear" w:color="000000" w:fill="D9D9D9"/>
            <w:vAlign w:val="center"/>
            <w:hideMark/>
          </w:tcPr>
          <w:p w14:paraId="231B1648"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 xml:space="preserve">           25,494 </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14:paraId="6132817A"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24,701</w:t>
            </w:r>
          </w:p>
        </w:tc>
      </w:tr>
      <w:tr w:rsidR="00181C91" w:rsidRPr="003A7C01" w14:paraId="5E3E1AE5" w14:textId="77777777" w:rsidTr="00417688">
        <w:trPr>
          <w:trHeight w:val="515"/>
        </w:trPr>
        <w:tc>
          <w:tcPr>
            <w:tcW w:w="4074" w:type="dxa"/>
            <w:tcBorders>
              <w:top w:val="nil"/>
              <w:left w:val="single" w:sz="4" w:space="0" w:color="auto"/>
              <w:bottom w:val="single" w:sz="4" w:space="0" w:color="auto"/>
              <w:right w:val="single" w:sz="4" w:space="0" w:color="auto"/>
            </w:tcBorders>
            <w:shd w:val="clear" w:color="auto" w:fill="auto"/>
            <w:vAlign w:val="center"/>
            <w:hideMark/>
          </w:tcPr>
          <w:p w14:paraId="6D107C8A" w14:textId="77777777" w:rsidR="00181C91" w:rsidRPr="003A7C01" w:rsidRDefault="00181C91" w:rsidP="00417688">
            <w:pPr>
              <w:spacing w:after="0" w:line="240" w:lineRule="auto"/>
              <w:rPr>
                <w:rFonts w:cs="Arial"/>
                <w:color w:val="000000"/>
                <w:szCs w:val="22"/>
                <w:lang w:eastAsia="zh-CN" w:bidi="th-TH"/>
              </w:rPr>
            </w:pPr>
            <w:r w:rsidRPr="003A7C01">
              <w:rPr>
                <w:rFonts w:cs="Arial"/>
                <w:color w:val="000000"/>
                <w:szCs w:val="22"/>
                <w:lang w:eastAsia="zh-CN" w:bidi="th-TH"/>
              </w:rPr>
              <w:t>ECCCF income </w:t>
            </w:r>
          </w:p>
        </w:tc>
        <w:tc>
          <w:tcPr>
            <w:tcW w:w="1807" w:type="dxa"/>
            <w:tcBorders>
              <w:top w:val="nil"/>
              <w:left w:val="nil"/>
              <w:bottom w:val="single" w:sz="4" w:space="0" w:color="auto"/>
              <w:right w:val="single" w:sz="4" w:space="0" w:color="auto"/>
            </w:tcBorders>
            <w:shd w:val="clear" w:color="auto" w:fill="auto"/>
            <w:vAlign w:val="center"/>
            <w:hideMark/>
          </w:tcPr>
          <w:p w14:paraId="2C86A595"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 xml:space="preserve">                   -   </w:t>
            </w:r>
          </w:p>
        </w:tc>
        <w:tc>
          <w:tcPr>
            <w:tcW w:w="1807" w:type="dxa"/>
            <w:tcBorders>
              <w:top w:val="nil"/>
              <w:left w:val="nil"/>
              <w:bottom w:val="single" w:sz="4" w:space="0" w:color="auto"/>
              <w:right w:val="single" w:sz="4" w:space="0" w:color="auto"/>
            </w:tcBorders>
            <w:shd w:val="clear" w:color="000000" w:fill="D9D9D9"/>
            <w:vAlign w:val="center"/>
            <w:hideMark/>
          </w:tcPr>
          <w:p w14:paraId="448B0AE3"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 xml:space="preserve">                   -   </w:t>
            </w:r>
          </w:p>
        </w:tc>
        <w:tc>
          <w:tcPr>
            <w:tcW w:w="1807" w:type="dxa"/>
            <w:tcBorders>
              <w:top w:val="nil"/>
              <w:left w:val="nil"/>
              <w:bottom w:val="single" w:sz="4" w:space="0" w:color="auto"/>
              <w:right w:val="single" w:sz="4" w:space="0" w:color="auto"/>
            </w:tcBorders>
            <w:shd w:val="clear" w:color="auto" w:fill="auto"/>
            <w:vAlign w:val="center"/>
            <w:hideMark/>
          </w:tcPr>
          <w:p w14:paraId="252D846D"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 xml:space="preserve">                   -   </w:t>
            </w:r>
          </w:p>
        </w:tc>
      </w:tr>
      <w:tr w:rsidR="00181C91" w:rsidRPr="003A7C01" w14:paraId="077F385D" w14:textId="77777777" w:rsidTr="00417688">
        <w:trPr>
          <w:trHeight w:val="515"/>
        </w:trPr>
        <w:tc>
          <w:tcPr>
            <w:tcW w:w="4074" w:type="dxa"/>
            <w:tcBorders>
              <w:top w:val="nil"/>
              <w:left w:val="single" w:sz="4" w:space="0" w:color="auto"/>
              <w:bottom w:val="single" w:sz="4" w:space="0" w:color="auto"/>
              <w:right w:val="single" w:sz="4" w:space="0" w:color="auto"/>
            </w:tcBorders>
            <w:shd w:val="clear" w:color="auto" w:fill="auto"/>
            <w:vAlign w:val="center"/>
            <w:hideMark/>
          </w:tcPr>
          <w:p w14:paraId="0F9AA01B" w14:textId="77777777" w:rsidR="00181C91" w:rsidRPr="003A7C01" w:rsidRDefault="00181C91" w:rsidP="00417688">
            <w:pPr>
              <w:spacing w:after="0" w:line="240" w:lineRule="auto"/>
              <w:rPr>
                <w:rFonts w:cs="Arial"/>
                <w:color w:val="000000"/>
                <w:szCs w:val="22"/>
                <w:lang w:eastAsia="zh-CN" w:bidi="th-TH"/>
              </w:rPr>
            </w:pPr>
            <w:r w:rsidRPr="003A7C01">
              <w:rPr>
                <w:rFonts w:cs="Arial"/>
                <w:color w:val="000000"/>
                <w:szCs w:val="22"/>
                <w:lang w:eastAsia="zh-CN" w:bidi="th-TH"/>
              </w:rPr>
              <w:t>State – grants </w:t>
            </w:r>
          </w:p>
        </w:tc>
        <w:tc>
          <w:tcPr>
            <w:tcW w:w="1807" w:type="dxa"/>
            <w:tcBorders>
              <w:top w:val="nil"/>
              <w:left w:val="nil"/>
              <w:bottom w:val="single" w:sz="4" w:space="0" w:color="auto"/>
              <w:right w:val="single" w:sz="4" w:space="0" w:color="auto"/>
            </w:tcBorders>
            <w:shd w:val="clear" w:color="auto" w:fill="auto"/>
            <w:vAlign w:val="center"/>
            <w:hideMark/>
          </w:tcPr>
          <w:p w14:paraId="39FCE847"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 xml:space="preserve">           50,265 </w:t>
            </w:r>
          </w:p>
        </w:tc>
        <w:tc>
          <w:tcPr>
            <w:tcW w:w="1807" w:type="dxa"/>
            <w:tcBorders>
              <w:top w:val="nil"/>
              <w:left w:val="nil"/>
              <w:bottom w:val="single" w:sz="4" w:space="0" w:color="auto"/>
              <w:right w:val="single" w:sz="4" w:space="0" w:color="auto"/>
            </w:tcBorders>
            <w:shd w:val="clear" w:color="000000" w:fill="D9D9D9"/>
            <w:vAlign w:val="center"/>
            <w:hideMark/>
          </w:tcPr>
          <w:p w14:paraId="3667B5AC"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 xml:space="preserve">           51,776 </w:t>
            </w:r>
          </w:p>
        </w:tc>
        <w:tc>
          <w:tcPr>
            <w:tcW w:w="1807" w:type="dxa"/>
            <w:tcBorders>
              <w:top w:val="nil"/>
              <w:left w:val="nil"/>
              <w:bottom w:val="single" w:sz="4" w:space="0" w:color="auto"/>
              <w:right w:val="single" w:sz="4" w:space="0" w:color="auto"/>
            </w:tcBorders>
            <w:shd w:val="clear" w:color="auto" w:fill="auto"/>
            <w:vAlign w:val="center"/>
            <w:hideMark/>
          </w:tcPr>
          <w:p w14:paraId="43B16512"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52,488</w:t>
            </w:r>
          </w:p>
        </w:tc>
      </w:tr>
      <w:tr w:rsidR="00181C91" w:rsidRPr="003A7C01" w14:paraId="256860F2" w14:textId="77777777" w:rsidTr="00417688">
        <w:trPr>
          <w:trHeight w:val="515"/>
        </w:trPr>
        <w:tc>
          <w:tcPr>
            <w:tcW w:w="4074" w:type="dxa"/>
            <w:tcBorders>
              <w:top w:val="nil"/>
              <w:left w:val="single" w:sz="4" w:space="0" w:color="auto"/>
              <w:bottom w:val="single" w:sz="4" w:space="0" w:color="auto"/>
              <w:right w:val="single" w:sz="4" w:space="0" w:color="auto"/>
            </w:tcBorders>
            <w:shd w:val="clear" w:color="auto" w:fill="auto"/>
            <w:vAlign w:val="center"/>
            <w:hideMark/>
          </w:tcPr>
          <w:p w14:paraId="36A1EC93" w14:textId="77777777" w:rsidR="00181C91" w:rsidRPr="003A7C01" w:rsidRDefault="00181C91" w:rsidP="00417688">
            <w:pPr>
              <w:spacing w:after="0" w:line="240" w:lineRule="auto"/>
              <w:rPr>
                <w:rFonts w:cs="Arial"/>
                <w:color w:val="000000"/>
                <w:szCs w:val="22"/>
                <w:lang w:eastAsia="zh-CN" w:bidi="th-TH"/>
              </w:rPr>
            </w:pPr>
            <w:r w:rsidRPr="003A7C01">
              <w:rPr>
                <w:rFonts w:cs="Arial"/>
                <w:color w:val="000000"/>
                <w:szCs w:val="22"/>
                <w:lang w:eastAsia="zh-CN" w:bidi="th-TH"/>
              </w:rPr>
              <w:t>Public Purpose Fund </w:t>
            </w:r>
          </w:p>
        </w:tc>
        <w:tc>
          <w:tcPr>
            <w:tcW w:w="1807" w:type="dxa"/>
            <w:tcBorders>
              <w:top w:val="nil"/>
              <w:left w:val="nil"/>
              <w:bottom w:val="single" w:sz="4" w:space="0" w:color="auto"/>
              <w:right w:val="single" w:sz="4" w:space="0" w:color="auto"/>
            </w:tcBorders>
            <w:shd w:val="clear" w:color="auto" w:fill="auto"/>
            <w:vAlign w:val="center"/>
            <w:hideMark/>
          </w:tcPr>
          <w:p w14:paraId="7CFDA45B"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 xml:space="preserve">             9,925 </w:t>
            </w:r>
          </w:p>
        </w:tc>
        <w:tc>
          <w:tcPr>
            <w:tcW w:w="1807" w:type="dxa"/>
            <w:tcBorders>
              <w:top w:val="nil"/>
              <w:left w:val="nil"/>
              <w:bottom w:val="single" w:sz="4" w:space="0" w:color="auto"/>
              <w:right w:val="single" w:sz="4" w:space="0" w:color="auto"/>
            </w:tcBorders>
            <w:shd w:val="clear" w:color="000000" w:fill="D9D9D9"/>
            <w:vAlign w:val="center"/>
            <w:hideMark/>
          </w:tcPr>
          <w:p w14:paraId="299738E9"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 xml:space="preserve">           14,950 </w:t>
            </w:r>
          </w:p>
        </w:tc>
        <w:tc>
          <w:tcPr>
            <w:tcW w:w="1807" w:type="dxa"/>
            <w:tcBorders>
              <w:top w:val="nil"/>
              <w:left w:val="nil"/>
              <w:bottom w:val="single" w:sz="4" w:space="0" w:color="auto"/>
              <w:right w:val="single" w:sz="4" w:space="0" w:color="auto"/>
            </w:tcBorders>
            <w:shd w:val="clear" w:color="auto" w:fill="auto"/>
            <w:vAlign w:val="center"/>
            <w:hideMark/>
          </w:tcPr>
          <w:p w14:paraId="296F143E"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14,950</w:t>
            </w:r>
          </w:p>
        </w:tc>
      </w:tr>
      <w:tr w:rsidR="00181C91" w:rsidRPr="003A7C01" w14:paraId="3852FF5E" w14:textId="77777777" w:rsidTr="00417688">
        <w:trPr>
          <w:trHeight w:val="515"/>
        </w:trPr>
        <w:tc>
          <w:tcPr>
            <w:tcW w:w="4074" w:type="dxa"/>
            <w:tcBorders>
              <w:top w:val="nil"/>
              <w:left w:val="single" w:sz="4" w:space="0" w:color="auto"/>
              <w:bottom w:val="single" w:sz="4" w:space="0" w:color="auto"/>
              <w:right w:val="single" w:sz="4" w:space="0" w:color="auto"/>
            </w:tcBorders>
            <w:shd w:val="clear" w:color="auto" w:fill="auto"/>
            <w:vAlign w:val="center"/>
            <w:hideMark/>
          </w:tcPr>
          <w:p w14:paraId="305BF643" w14:textId="77777777" w:rsidR="00181C91" w:rsidRPr="003A7C01" w:rsidRDefault="00181C91" w:rsidP="00417688">
            <w:pPr>
              <w:spacing w:after="0" w:line="240" w:lineRule="auto"/>
              <w:rPr>
                <w:rFonts w:cs="Arial"/>
                <w:color w:val="000000"/>
                <w:szCs w:val="22"/>
                <w:lang w:eastAsia="zh-CN" w:bidi="th-TH"/>
              </w:rPr>
            </w:pPr>
            <w:r w:rsidRPr="003A7C01">
              <w:rPr>
                <w:rFonts w:cs="Arial"/>
                <w:color w:val="000000"/>
                <w:szCs w:val="22"/>
                <w:lang w:eastAsia="zh-CN" w:bidi="th-TH"/>
              </w:rPr>
              <w:t>Case revenue </w:t>
            </w:r>
          </w:p>
        </w:tc>
        <w:tc>
          <w:tcPr>
            <w:tcW w:w="1807" w:type="dxa"/>
            <w:tcBorders>
              <w:top w:val="nil"/>
              <w:left w:val="nil"/>
              <w:bottom w:val="single" w:sz="4" w:space="0" w:color="auto"/>
              <w:right w:val="single" w:sz="4" w:space="0" w:color="auto"/>
            </w:tcBorders>
            <w:shd w:val="clear" w:color="auto" w:fill="auto"/>
            <w:vAlign w:val="center"/>
            <w:hideMark/>
          </w:tcPr>
          <w:p w14:paraId="530333B8"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 xml:space="preserve">             1,337 </w:t>
            </w:r>
          </w:p>
        </w:tc>
        <w:tc>
          <w:tcPr>
            <w:tcW w:w="1807" w:type="dxa"/>
            <w:tcBorders>
              <w:top w:val="nil"/>
              <w:left w:val="nil"/>
              <w:bottom w:val="single" w:sz="4" w:space="0" w:color="auto"/>
              <w:right w:val="single" w:sz="4" w:space="0" w:color="auto"/>
            </w:tcBorders>
            <w:shd w:val="clear" w:color="000000" w:fill="D9D9D9"/>
            <w:vAlign w:val="center"/>
            <w:hideMark/>
          </w:tcPr>
          <w:p w14:paraId="3CE3E958"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 xml:space="preserve">                544 </w:t>
            </w:r>
          </w:p>
        </w:tc>
        <w:tc>
          <w:tcPr>
            <w:tcW w:w="1807" w:type="dxa"/>
            <w:tcBorders>
              <w:top w:val="nil"/>
              <w:left w:val="nil"/>
              <w:bottom w:val="single" w:sz="4" w:space="0" w:color="auto"/>
              <w:right w:val="single" w:sz="4" w:space="0" w:color="auto"/>
            </w:tcBorders>
            <w:shd w:val="clear" w:color="auto" w:fill="auto"/>
            <w:vAlign w:val="center"/>
            <w:hideMark/>
          </w:tcPr>
          <w:p w14:paraId="0E7BA419"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1,015</w:t>
            </w:r>
          </w:p>
        </w:tc>
      </w:tr>
      <w:tr w:rsidR="00181C91" w:rsidRPr="003A7C01" w14:paraId="18E2F460" w14:textId="77777777" w:rsidTr="00417688">
        <w:trPr>
          <w:trHeight w:val="515"/>
        </w:trPr>
        <w:tc>
          <w:tcPr>
            <w:tcW w:w="4074" w:type="dxa"/>
            <w:tcBorders>
              <w:top w:val="nil"/>
              <w:left w:val="single" w:sz="4" w:space="0" w:color="auto"/>
              <w:bottom w:val="single" w:sz="4" w:space="0" w:color="auto"/>
              <w:right w:val="single" w:sz="4" w:space="0" w:color="auto"/>
            </w:tcBorders>
            <w:shd w:val="clear" w:color="auto" w:fill="auto"/>
            <w:vAlign w:val="center"/>
            <w:hideMark/>
          </w:tcPr>
          <w:p w14:paraId="631B7A09" w14:textId="77777777" w:rsidR="00181C91" w:rsidRPr="003A7C01" w:rsidRDefault="00181C91" w:rsidP="00417688">
            <w:pPr>
              <w:spacing w:after="0" w:line="240" w:lineRule="auto"/>
              <w:rPr>
                <w:rFonts w:cs="Arial"/>
                <w:color w:val="000000"/>
                <w:szCs w:val="22"/>
                <w:lang w:eastAsia="zh-CN" w:bidi="th-TH"/>
              </w:rPr>
            </w:pPr>
            <w:r w:rsidRPr="003A7C01">
              <w:rPr>
                <w:rFonts w:cs="Arial"/>
                <w:color w:val="000000"/>
                <w:szCs w:val="22"/>
                <w:lang w:eastAsia="zh-CN" w:bidi="th-TH"/>
              </w:rPr>
              <w:t>Other income </w:t>
            </w:r>
          </w:p>
        </w:tc>
        <w:tc>
          <w:tcPr>
            <w:tcW w:w="1807" w:type="dxa"/>
            <w:tcBorders>
              <w:top w:val="nil"/>
              <w:left w:val="nil"/>
              <w:bottom w:val="single" w:sz="4" w:space="0" w:color="auto"/>
              <w:right w:val="single" w:sz="4" w:space="0" w:color="auto"/>
            </w:tcBorders>
            <w:shd w:val="clear" w:color="auto" w:fill="auto"/>
            <w:vAlign w:val="center"/>
            <w:hideMark/>
          </w:tcPr>
          <w:p w14:paraId="302590A6"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 xml:space="preserve">             1,799 </w:t>
            </w:r>
          </w:p>
        </w:tc>
        <w:tc>
          <w:tcPr>
            <w:tcW w:w="1807" w:type="dxa"/>
            <w:tcBorders>
              <w:top w:val="nil"/>
              <w:left w:val="nil"/>
              <w:bottom w:val="single" w:sz="4" w:space="0" w:color="auto"/>
              <w:right w:val="single" w:sz="4" w:space="0" w:color="auto"/>
            </w:tcBorders>
            <w:shd w:val="clear" w:color="000000" w:fill="D9D9D9"/>
            <w:vAlign w:val="center"/>
            <w:hideMark/>
          </w:tcPr>
          <w:p w14:paraId="2C2B00EE"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 xml:space="preserve">             1,602 </w:t>
            </w:r>
          </w:p>
        </w:tc>
        <w:tc>
          <w:tcPr>
            <w:tcW w:w="1807" w:type="dxa"/>
            <w:tcBorders>
              <w:top w:val="nil"/>
              <w:left w:val="nil"/>
              <w:bottom w:val="single" w:sz="4" w:space="0" w:color="auto"/>
              <w:right w:val="single" w:sz="4" w:space="0" w:color="auto"/>
            </w:tcBorders>
            <w:shd w:val="clear" w:color="auto" w:fill="auto"/>
            <w:vAlign w:val="center"/>
            <w:hideMark/>
          </w:tcPr>
          <w:p w14:paraId="08CF6F06" w14:textId="77777777" w:rsidR="00181C91" w:rsidRPr="003A7C01" w:rsidRDefault="00181C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1,867</w:t>
            </w:r>
          </w:p>
        </w:tc>
      </w:tr>
      <w:tr w:rsidR="00181C91" w:rsidRPr="003A7C01" w14:paraId="309157E7" w14:textId="77777777" w:rsidTr="00417688">
        <w:trPr>
          <w:trHeight w:val="515"/>
        </w:trPr>
        <w:tc>
          <w:tcPr>
            <w:tcW w:w="4074" w:type="dxa"/>
            <w:tcBorders>
              <w:top w:val="nil"/>
              <w:left w:val="single" w:sz="4" w:space="0" w:color="auto"/>
              <w:bottom w:val="single" w:sz="4" w:space="0" w:color="auto"/>
              <w:right w:val="single" w:sz="4" w:space="0" w:color="auto"/>
            </w:tcBorders>
            <w:shd w:val="clear" w:color="000000" w:fill="D9D9D9"/>
            <w:vAlign w:val="center"/>
            <w:hideMark/>
          </w:tcPr>
          <w:p w14:paraId="55C5CD62" w14:textId="77777777" w:rsidR="00181C91" w:rsidRPr="003A7C01" w:rsidRDefault="00181C91" w:rsidP="00417688">
            <w:pPr>
              <w:spacing w:after="0" w:line="240" w:lineRule="auto"/>
              <w:rPr>
                <w:rFonts w:cs="Arial"/>
                <w:b/>
                <w:bCs/>
                <w:color w:val="000000"/>
                <w:szCs w:val="22"/>
                <w:lang w:eastAsia="zh-CN" w:bidi="th-TH"/>
              </w:rPr>
            </w:pPr>
            <w:r w:rsidRPr="003A7C01">
              <w:rPr>
                <w:rFonts w:cs="Arial"/>
                <w:b/>
                <w:bCs/>
                <w:color w:val="000000"/>
                <w:szCs w:val="22"/>
                <w:lang w:eastAsia="zh-CN" w:bidi="th-TH"/>
              </w:rPr>
              <w:t>Total revenue</w:t>
            </w:r>
            <w:r w:rsidRPr="003A7C01">
              <w:rPr>
                <w:rFonts w:cs="Arial"/>
                <w:color w:val="000000"/>
                <w:szCs w:val="22"/>
                <w:lang w:eastAsia="zh-CN" w:bidi="th-TH"/>
              </w:rPr>
              <w:t> </w:t>
            </w:r>
          </w:p>
        </w:tc>
        <w:tc>
          <w:tcPr>
            <w:tcW w:w="1807" w:type="dxa"/>
            <w:tcBorders>
              <w:top w:val="nil"/>
              <w:left w:val="nil"/>
              <w:bottom w:val="single" w:sz="4" w:space="0" w:color="auto"/>
              <w:right w:val="single" w:sz="4" w:space="0" w:color="auto"/>
            </w:tcBorders>
            <w:shd w:val="clear" w:color="000000" w:fill="D9D9D9"/>
            <w:vAlign w:val="center"/>
            <w:hideMark/>
          </w:tcPr>
          <w:p w14:paraId="2064FF85" w14:textId="77777777" w:rsidR="00181C91" w:rsidRPr="003A7C01" w:rsidRDefault="00181C91" w:rsidP="00417688">
            <w:pPr>
              <w:spacing w:after="0" w:line="240" w:lineRule="auto"/>
              <w:jc w:val="right"/>
              <w:rPr>
                <w:rFonts w:cs="Arial"/>
                <w:b/>
                <w:bCs/>
                <w:color w:val="000000"/>
                <w:szCs w:val="22"/>
                <w:lang w:eastAsia="zh-CN" w:bidi="th-TH"/>
              </w:rPr>
            </w:pPr>
            <w:r w:rsidRPr="003A7C01">
              <w:rPr>
                <w:rFonts w:cs="Arial"/>
                <w:b/>
                <w:bCs/>
                <w:color w:val="000000"/>
                <w:szCs w:val="22"/>
                <w:lang w:eastAsia="zh-CN" w:bidi="th-TH"/>
              </w:rPr>
              <w:t xml:space="preserve">           88,061 </w:t>
            </w:r>
          </w:p>
        </w:tc>
        <w:tc>
          <w:tcPr>
            <w:tcW w:w="1807" w:type="dxa"/>
            <w:tcBorders>
              <w:top w:val="nil"/>
              <w:left w:val="nil"/>
              <w:bottom w:val="single" w:sz="4" w:space="0" w:color="auto"/>
              <w:right w:val="single" w:sz="4" w:space="0" w:color="auto"/>
            </w:tcBorders>
            <w:shd w:val="clear" w:color="000000" w:fill="D9D9D9"/>
            <w:vAlign w:val="center"/>
            <w:hideMark/>
          </w:tcPr>
          <w:p w14:paraId="5DAB5FC4" w14:textId="77777777" w:rsidR="00181C91" w:rsidRPr="003A7C01" w:rsidRDefault="00181C91" w:rsidP="00417688">
            <w:pPr>
              <w:spacing w:after="0" w:line="240" w:lineRule="auto"/>
              <w:jc w:val="right"/>
              <w:rPr>
                <w:rFonts w:cs="Arial"/>
                <w:b/>
                <w:bCs/>
                <w:color w:val="000000"/>
                <w:szCs w:val="22"/>
                <w:lang w:eastAsia="zh-CN" w:bidi="th-TH"/>
              </w:rPr>
            </w:pPr>
            <w:r w:rsidRPr="003A7C01">
              <w:rPr>
                <w:rFonts w:cs="Arial"/>
                <w:b/>
                <w:bCs/>
                <w:color w:val="000000"/>
                <w:szCs w:val="22"/>
                <w:lang w:eastAsia="zh-CN" w:bidi="th-TH"/>
              </w:rPr>
              <w:t xml:space="preserve">           94,366 </w:t>
            </w:r>
          </w:p>
        </w:tc>
        <w:tc>
          <w:tcPr>
            <w:tcW w:w="1807" w:type="dxa"/>
            <w:tcBorders>
              <w:top w:val="nil"/>
              <w:left w:val="nil"/>
              <w:bottom w:val="single" w:sz="4" w:space="0" w:color="auto"/>
              <w:right w:val="single" w:sz="4" w:space="0" w:color="auto"/>
            </w:tcBorders>
            <w:shd w:val="clear" w:color="000000" w:fill="D9D9D9"/>
            <w:vAlign w:val="center"/>
            <w:hideMark/>
          </w:tcPr>
          <w:p w14:paraId="1285C2DD" w14:textId="77777777" w:rsidR="00181C91" w:rsidRPr="003A7C01" w:rsidRDefault="00181C91" w:rsidP="00417688">
            <w:pPr>
              <w:spacing w:after="0" w:line="240" w:lineRule="auto"/>
              <w:jc w:val="right"/>
              <w:rPr>
                <w:rFonts w:cs="Arial"/>
                <w:b/>
                <w:bCs/>
                <w:color w:val="000000"/>
                <w:szCs w:val="22"/>
                <w:lang w:eastAsia="zh-CN" w:bidi="th-TH"/>
              </w:rPr>
            </w:pPr>
            <w:r w:rsidRPr="003A7C01">
              <w:rPr>
                <w:rFonts w:cs="Arial"/>
                <w:b/>
                <w:bCs/>
                <w:color w:val="000000"/>
                <w:szCs w:val="22"/>
                <w:lang w:eastAsia="zh-CN" w:bidi="th-TH"/>
              </w:rPr>
              <w:t xml:space="preserve">           95,021 </w:t>
            </w:r>
          </w:p>
        </w:tc>
      </w:tr>
    </w:tbl>
    <w:p w14:paraId="5CBECD65" w14:textId="77777777" w:rsidR="008D2291" w:rsidRDefault="008D2291" w:rsidP="008D2291">
      <w:pPr>
        <w:pStyle w:val="Heading3"/>
        <w:rPr>
          <w:rFonts w:eastAsia="Arial"/>
          <w:sz w:val="20"/>
          <w:szCs w:val="20"/>
        </w:rPr>
      </w:pPr>
    </w:p>
    <w:p w14:paraId="40B8B31A" w14:textId="77777777" w:rsidR="008D2291" w:rsidRDefault="008D2291" w:rsidP="008D2291">
      <w:pPr>
        <w:pStyle w:val="Heading3"/>
        <w:rPr>
          <w:rFonts w:eastAsia="Arial"/>
          <w:sz w:val="20"/>
          <w:szCs w:val="20"/>
        </w:rPr>
      </w:pPr>
    </w:p>
    <w:p w14:paraId="245FAAF7" w14:textId="77777777" w:rsidR="008D2291" w:rsidRDefault="008D2291" w:rsidP="008D2291">
      <w:pPr>
        <w:pStyle w:val="Heading3"/>
        <w:rPr>
          <w:rFonts w:eastAsia="Arial"/>
          <w:sz w:val="20"/>
          <w:szCs w:val="20"/>
        </w:rPr>
      </w:pPr>
    </w:p>
    <w:p w14:paraId="6437490D" w14:textId="77777777" w:rsidR="008D2291" w:rsidRDefault="008D2291" w:rsidP="008D2291">
      <w:pPr>
        <w:pStyle w:val="Heading3"/>
        <w:rPr>
          <w:rFonts w:eastAsia="Arial"/>
          <w:sz w:val="20"/>
          <w:szCs w:val="20"/>
        </w:rPr>
      </w:pPr>
    </w:p>
    <w:p w14:paraId="1CBE08F5" w14:textId="77777777" w:rsidR="008D2291" w:rsidRDefault="008D2291" w:rsidP="008D2291">
      <w:pPr>
        <w:pStyle w:val="Heading3"/>
        <w:rPr>
          <w:rFonts w:eastAsia="Arial"/>
          <w:sz w:val="20"/>
          <w:szCs w:val="20"/>
        </w:rPr>
      </w:pPr>
    </w:p>
    <w:p w14:paraId="275B2550" w14:textId="77777777" w:rsidR="008D2291" w:rsidRDefault="008D2291" w:rsidP="008D2291">
      <w:pPr>
        <w:pStyle w:val="Heading3"/>
        <w:rPr>
          <w:rFonts w:eastAsia="Arial"/>
          <w:sz w:val="20"/>
          <w:szCs w:val="20"/>
        </w:rPr>
      </w:pPr>
    </w:p>
    <w:p w14:paraId="6DB227E8" w14:textId="77777777" w:rsidR="008D2291" w:rsidRDefault="008D2291" w:rsidP="008D2291">
      <w:pPr>
        <w:pStyle w:val="Heading3"/>
        <w:rPr>
          <w:rFonts w:eastAsia="Arial"/>
          <w:sz w:val="20"/>
          <w:szCs w:val="20"/>
        </w:rPr>
      </w:pPr>
    </w:p>
    <w:p w14:paraId="538DB62C" w14:textId="77777777" w:rsidR="008D2291" w:rsidRDefault="008D2291" w:rsidP="008D2291">
      <w:pPr>
        <w:pStyle w:val="Heading3"/>
        <w:rPr>
          <w:rFonts w:eastAsia="Arial"/>
          <w:sz w:val="20"/>
          <w:szCs w:val="20"/>
        </w:rPr>
      </w:pPr>
    </w:p>
    <w:p w14:paraId="5B5C2855" w14:textId="2022615F" w:rsidR="008D2291" w:rsidRDefault="008D2291" w:rsidP="0084651F">
      <w:pPr>
        <w:pStyle w:val="Tableheader"/>
      </w:pPr>
      <w:r w:rsidRPr="0084651F">
        <w:t>Table 2.2 Total expenditure breakdown ($’000)</w:t>
      </w:r>
      <w:r>
        <w:t xml:space="preserve"> </w:t>
      </w:r>
    </w:p>
    <w:tbl>
      <w:tblPr>
        <w:tblW w:w="9636" w:type="dxa"/>
        <w:tblLook w:val="04A0" w:firstRow="1" w:lastRow="0" w:firstColumn="1" w:lastColumn="0" w:noHBand="0" w:noVBand="1"/>
      </w:tblPr>
      <w:tblGrid>
        <w:gridCol w:w="4134"/>
        <w:gridCol w:w="1834"/>
        <w:gridCol w:w="1834"/>
        <w:gridCol w:w="1834"/>
      </w:tblGrid>
      <w:tr w:rsidR="008D2291" w:rsidRPr="003A7C01" w14:paraId="1739A7EC" w14:textId="77777777" w:rsidTr="00417688">
        <w:trPr>
          <w:trHeight w:val="245"/>
        </w:trPr>
        <w:tc>
          <w:tcPr>
            <w:tcW w:w="4134" w:type="dxa"/>
            <w:vMerge w:val="restart"/>
            <w:tcBorders>
              <w:top w:val="single" w:sz="4" w:space="0" w:color="auto"/>
              <w:left w:val="single" w:sz="4" w:space="0" w:color="auto"/>
              <w:bottom w:val="single" w:sz="4" w:space="0" w:color="auto"/>
              <w:right w:val="single" w:sz="4" w:space="0" w:color="auto"/>
            </w:tcBorders>
            <w:shd w:val="clear" w:color="000000" w:fill="B59CC0"/>
            <w:vAlign w:val="center"/>
            <w:hideMark/>
          </w:tcPr>
          <w:p w14:paraId="53334BA3" w14:textId="77777777" w:rsidR="008D2291" w:rsidRPr="003A7C01" w:rsidRDefault="008D2291" w:rsidP="00417688">
            <w:pPr>
              <w:spacing w:after="0" w:line="240" w:lineRule="auto"/>
              <w:rPr>
                <w:rFonts w:cs="Arial"/>
                <w:b/>
                <w:bCs/>
                <w:color w:val="000000"/>
                <w:szCs w:val="22"/>
                <w:lang w:eastAsia="zh-CN" w:bidi="th-TH"/>
              </w:rPr>
            </w:pPr>
            <w:r w:rsidRPr="003A7C01">
              <w:rPr>
                <w:rFonts w:cs="Arial"/>
                <w:b/>
                <w:bCs/>
                <w:color w:val="000000"/>
                <w:szCs w:val="22"/>
                <w:lang w:eastAsia="zh-CN" w:bidi="th-TH"/>
              </w:rPr>
              <w:t>Expenditure</w:t>
            </w:r>
            <w:r w:rsidRPr="003A7C01">
              <w:rPr>
                <w:rFonts w:cs="Arial"/>
                <w:color w:val="000000"/>
                <w:szCs w:val="22"/>
                <w:lang w:eastAsia="zh-CN" w:bidi="th-TH"/>
              </w:rPr>
              <w:t> </w:t>
            </w:r>
          </w:p>
        </w:tc>
        <w:tc>
          <w:tcPr>
            <w:tcW w:w="1834" w:type="dxa"/>
            <w:tcBorders>
              <w:top w:val="single" w:sz="4" w:space="0" w:color="auto"/>
              <w:left w:val="single" w:sz="4" w:space="0" w:color="auto"/>
              <w:bottom w:val="nil"/>
              <w:right w:val="single" w:sz="4" w:space="0" w:color="auto"/>
            </w:tcBorders>
            <w:shd w:val="clear" w:color="000000" w:fill="B59CC0"/>
            <w:vAlign w:val="center"/>
            <w:hideMark/>
          </w:tcPr>
          <w:p w14:paraId="71E99CFB" w14:textId="77777777" w:rsidR="008D2291" w:rsidRPr="003A7C01" w:rsidRDefault="008D22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Q2</w:t>
            </w:r>
          </w:p>
        </w:tc>
        <w:tc>
          <w:tcPr>
            <w:tcW w:w="1834" w:type="dxa"/>
            <w:tcBorders>
              <w:top w:val="single" w:sz="4" w:space="0" w:color="auto"/>
              <w:left w:val="nil"/>
              <w:bottom w:val="nil"/>
              <w:right w:val="single" w:sz="4" w:space="0" w:color="auto"/>
            </w:tcBorders>
            <w:shd w:val="clear" w:color="000000" w:fill="B59CC0"/>
            <w:vAlign w:val="center"/>
            <w:hideMark/>
          </w:tcPr>
          <w:p w14:paraId="2A383130" w14:textId="77777777" w:rsidR="008D2291" w:rsidRPr="003A7C01" w:rsidRDefault="008D22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Q3</w:t>
            </w:r>
          </w:p>
        </w:tc>
        <w:tc>
          <w:tcPr>
            <w:tcW w:w="1834" w:type="dxa"/>
            <w:tcBorders>
              <w:top w:val="single" w:sz="4" w:space="0" w:color="auto"/>
              <w:left w:val="nil"/>
              <w:bottom w:val="nil"/>
              <w:right w:val="single" w:sz="4" w:space="0" w:color="auto"/>
            </w:tcBorders>
            <w:shd w:val="clear" w:color="000000" w:fill="B59CC0"/>
            <w:vAlign w:val="center"/>
            <w:hideMark/>
          </w:tcPr>
          <w:p w14:paraId="48C3B669" w14:textId="77777777" w:rsidR="008D2291" w:rsidRPr="003A7C01" w:rsidRDefault="008D22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Q4 2023-24</w:t>
            </w:r>
          </w:p>
        </w:tc>
      </w:tr>
      <w:tr w:rsidR="008D2291" w:rsidRPr="003A7C01" w14:paraId="06EC9185" w14:textId="77777777" w:rsidTr="00417688">
        <w:trPr>
          <w:trHeight w:val="253"/>
        </w:trPr>
        <w:tc>
          <w:tcPr>
            <w:tcW w:w="4134" w:type="dxa"/>
            <w:vMerge/>
            <w:tcBorders>
              <w:top w:val="single" w:sz="4" w:space="0" w:color="auto"/>
              <w:left w:val="single" w:sz="4" w:space="0" w:color="auto"/>
              <w:bottom w:val="single" w:sz="4" w:space="0" w:color="auto"/>
              <w:right w:val="single" w:sz="4" w:space="0" w:color="auto"/>
            </w:tcBorders>
            <w:vAlign w:val="center"/>
            <w:hideMark/>
          </w:tcPr>
          <w:p w14:paraId="19EBD10B" w14:textId="77777777" w:rsidR="008D2291" w:rsidRPr="003A7C01" w:rsidRDefault="008D2291" w:rsidP="00417688">
            <w:pPr>
              <w:spacing w:after="0" w:line="240" w:lineRule="auto"/>
              <w:rPr>
                <w:rFonts w:cs="Arial"/>
                <w:b/>
                <w:bCs/>
                <w:color w:val="000000"/>
                <w:szCs w:val="22"/>
                <w:lang w:eastAsia="zh-CN" w:bidi="th-TH"/>
              </w:rPr>
            </w:pPr>
          </w:p>
        </w:tc>
        <w:tc>
          <w:tcPr>
            <w:tcW w:w="1834" w:type="dxa"/>
            <w:tcBorders>
              <w:top w:val="nil"/>
              <w:left w:val="single" w:sz="4" w:space="0" w:color="auto"/>
              <w:bottom w:val="single" w:sz="4" w:space="0" w:color="auto"/>
              <w:right w:val="single" w:sz="4" w:space="0" w:color="auto"/>
            </w:tcBorders>
            <w:shd w:val="clear" w:color="000000" w:fill="B59CC0"/>
            <w:vAlign w:val="center"/>
            <w:hideMark/>
          </w:tcPr>
          <w:p w14:paraId="06BF5157" w14:textId="77777777" w:rsidR="008D2291" w:rsidRPr="003A7C01" w:rsidRDefault="008D22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834" w:type="dxa"/>
            <w:tcBorders>
              <w:top w:val="nil"/>
              <w:left w:val="nil"/>
              <w:bottom w:val="single" w:sz="4" w:space="0" w:color="auto"/>
              <w:right w:val="single" w:sz="4" w:space="0" w:color="auto"/>
            </w:tcBorders>
            <w:shd w:val="clear" w:color="000000" w:fill="B59CC0"/>
            <w:vAlign w:val="center"/>
            <w:hideMark/>
          </w:tcPr>
          <w:p w14:paraId="74A02EE0" w14:textId="77777777" w:rsidR="008D2291" w:rsidRPr="003A7C01" w:rsidRDefault="008D22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834" w:type="dxa"/>
            <w:tcBorders>
              <w:top w:val="nil"/>
              <w:left w:val="nil"/>
              <w:bottom w:val="single" w:sz="4" w:space="0" w:color="auto"/>
              <w:right w:val="single" w:sz="4" w:space="0" w:color="auto"/>
            </w:tcBorders>
            <w:shd w:val="clear" w:color="000000" w:fill="B59CC0"/>
            <w:vAlign w:val="center"/>
            <w:hideMark/>
          </w:tcPr>
          <w:p w14:paraId="40333106" w14:textId="77777777" w:rsidR="008D2291" w:rsidRPr="003A7C01" w:rsidRDefault="008D22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projection</w:t>
            </w:r>
          </w:p>
        </w:tc>
      </w:tr>
      <w:tr w:rsidR="008D2291" w:rsidRPr="003A7C01" w14:paraId="1447DD06" w14:textId="77777777" w:rsidTr="00417688">
        <w:trPr>
          <w:trHeight w:val="752"/>
        </w:trPr>
        <w:tc>
          <w:tcPr>
            <w:tcW w:w="4134" w:type="dxa"/>
            <w:tcBorders>
              <w:top w:val="nil"/>
              <w:left w:val="single" w:sz="4" w:space="0" w:color="auto"/>
              <w:bottom w:val="single" w:sz="4" w:space="0" w:color="auto"/>
              <w:right w:val="single" w:sz="4" w:space="0" w:color="auto"/>
            </w:tcBorders>
            <w:shd w:val="clear" w:color="auto" w:fill="auto"/>
            <w:vAlign w:val="center"/>
            <w:hideMark/>
          </w:tcPr>
          <w:p w14:paraId="3C9742BB" w14:textId="77777777" w:rsidR="008D2291" w:rsidRPr="003A7C01" w:rsidRDefault="008D2291" w:rsidP="00417688">
            <w:pPr>
              <w:spacing w:after="0" w:line="240" w:lineRule="auto"/>
              <w:rPr>
                <w:rFonts w:cs="Arial"/>
                <w:color w:val="000000"/>
                <w:szCs w:val="22"/>
                <w:lang w:eastAsia="zh-CN" w:bidi="th-TH"/>
              </w:rPr>
            </w:pPr>
            <w:r w:rsidRPr="003A7C01">
              <w:rPr>
                <w:rFonts w:cs="Arial"/>
                <w:color w:val="000000"/>
                <w:szCs w:val="22"/>
                <w:lang w:eastAsia="zh-CN" w:bidi="th-TH"/>
              </w:rPr>
              <w:t>Case expenditure (including ECCCF) </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11E7C83E" w14:textId="77777777" w:rsidR="008D2291" w:rsidRPr="003A7C01" w:rsidRDefault="008D22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(30,599)</w:t>
            </w:r>
          </w:p>
        </w:tc>
        <w:tc>
          <w:tcPr>
            <w:tcW w:w="1834" w:type="dxa"/>
            <w:tcBorders>
              <w:top w:val="single" w:sz="4" w:space="0" w:color="auto"/>
              <w:left w:val="nil"/>
              <w:bottom w:val="single" w:sz="4" w:space="0" w:color="auto"/>
              <w:right w:val="single" w:sz="4" w:space="0" w:color="auto"/>
            </w:tcBorders>
            <w:shd w:val="clear" w:color="000000" w:fill="D9D9D9"/>
            <w:vAlign w:val="center"/>
            <w:hideMark/>
          </w:tcPr>
          <w:p w14:paraId="03F9B0DE" w14:textId="77777777" w:rsidR="008D2291" w:rsidRPr="003A7C01" w:rsidRDefault="008D22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(29,968)</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1D02ECEC" w14:textId="77777777" w:rsidR="008D2291" w:rsidRPr="003A7C01" w:rsidRDefault="008D22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(41,213)</w:t>
            </w:r>
          </w:p>
        </w:tc>
      </w:tr>
      <w:tr w:rsidR="008D2291" w:rsidRPr="003A7C01" w14:paraId="3B85BD42" w14:textId="77777777" w:rsidTr="00417688">
        <w:trPr>
          <w:trHeight w:val="752"/>
        </w:trPr>
        <w:tc>
          <w:tcPr>
            <w:tcW w:w="4134" w:type="dxa"/>
            <w:tcBorders>
              <w:top w:val="nil"/>
              <w:left w:val="single" w:sz="4" w:space="0" w:color="auto"/>
              <w:bottom w:val="single" w:sz="4" w:space="0" w:color="auto"/>
              <w:right w:val="single" w:sz="4" w:space="0" w:color="auto"/>
            </w:tcBorders>
            <w:shd w:val="clear" w:color="auto" w:fill="auto"/>
            <w:vAlign w:val="center"/>
            <w:hideMark/>
          </w:tcPr>
          <w:p w14:paraId="23F6E701" w14:textId="77777777" w:rsidR="008D2291" w:rsidRPr="003A7C01" w:rsidRDefault="008D2291" w:rsidP="00417688">
            <w:pPr>
              <w:spacing w:after="0" w:line="240" w:lineRule="auto"/>
              <w:rPr>
                <w:rFonts w:cs="Arial"/>
                <w:color w:val="000000"/>
                <w:szCs w:val="22"/>
                <w:lang w:eastAsia="zh-CN" w:bidi="th-TH"/>
              </w:rPr>
            </w:pPr>
            <w:r w:rsidRPr="003A7C01">
              <w:rPr>
                <w:rFonts w:cs="Arial"/>
                <w:color w:val="000000"/>
                <w:szCs w:val="22"/>
                <w:lang w:eastAsia="zh-CN" w:bidi="th-TH"/>
              </w:rPr>
              <w:t>Community Legal Centre payments </w:t>
            </w:r>
          </w:p>
        </w:tc>
        <w:tc>
          <w:tcPr>
            <w:tcW w:w="1834" w:type="dxa"/>
            <w:tcBorders>
              <w:top w:val="nil"/>
              <w:left w:val="nil"/>
              <w:bottom w:val="single" w:sz="4" w:space="0" w:color="auto"/>
              <w:right w:val="single" w:sz="4" w:space="0" w:color="auto"/>
            </w:tcBorders>
            <w:shd w:val="clear" w:color="auto" w:fill="auto"/>
            <w:vAlign w:val="center"/>
            <w:hideMark/>
          </w:tcPr>
          <w:p w14:paraId="5208D134" w14:textId="77777777" w:rsidR="008D2291" w:rsidRPr="003A7C01" w:rsidRDefault="008D22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(14,941)</w:t>
            </w:r>
          </w:p>
        </w:tc>
        <w:tc>
          <w:tcPr>
            <w:tcW w:w="1834" w:type="dxa"/>
            <w:tcBorders>
              <w:top w:val="nil"/>
              <w:left w:val="nil"/>
              <w:bottom w:val="single" w:sz="4" w:space="0" w:color="auto"/>
              <w:right w:val="single" w:sz="4" w:space="0" w:color="auto"/>
            </w:tcBorders>
            <w:shd w:val="clear" w:color="000000" w:fill="D9D9D9"/>
            <w:vAlign w:val="center"/>
            <w:hideMark/>
          </w:tcPr>
          <w:p w14:paraId="374E8870" w14:textId="77777777" w:rsidR="008D2291" w:rsidRPr="003A7C01" w:rsidRDefault="008D22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(18,514)</w:t>
            </w:r>
          </w:p>
        </w:tc>
        <w:tc>
          <w:tcPr>
            <w:tcW w:w="1834" w:type="dxa"/>
            <w:tcBorders>
              <w:top w:val="nil"/>
              <w:left w:val="nil"/>
              <w:bottom w:val="single" w:sz="4" w:space="0" w:color="auto"/>
              <w:right w:val="single" w:sz="4" w:space="0" w:color="auto"/>
            </w:tcBorders>
            <w:shd w:val="clear" w:color="auto" w:fill="auto"/>
            <w:vAlign w:val="center"/>
            <w:hideMark/>
          </w:tcPr>
          <w:p w14:paraId="5AD514A4" w14:textId="77777777" w:rsidR="008D2291" w:rsidRPr="003A7C01" w:rsidRDefault="008D22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(14,563)</w:t>
            </w:r>
          </w:p>
        </w:tc>
      </w:tr>
      <w:tr w:rsidR="008D2291" w:rsidRPr="003A7C01" w14:paraId="17431449" w14:textId="77777777" w:rsidTr="00417688">
        <w:trPr>
          <w:trHeight w:val="752"/>
        </w:trPr>
        <w:tc>
          <w:tcPr>
            <w:tcW w:w="4134" w:type="dxa"/>
            <w:tcBorders>
              <w:top w:val="nil"/>
              <w:left w:val="single" w:sz="4" w:space="0" w:color="auto"/>
              <w:bottom w:val="single" w:sz="4" w:space="0" w:color="auto"/>
              <w:right w:val="single" w:sz="4" w:space="0" w:color="auto"/>
            </w:tcBorders>
            <w:shd w:val="clear" w:color="auto" w:fill="auto"/>
            <w:vAlign w:val="center"/>
            <w:hideMark/>
          </w:tcPr>
          <w:p w14:paraId="14BA531D" w14:textId="77777777" w:rsidR="008D2291" w:rsidRPr="003A7C01" w:rsidRDefault="008D2291" w:rsidP="00417688">
            <w:pPr>
              <w:spacing w:after="0" w:line="240" w:lineRule="auto"/>
              <w:rPr>
                <w:rFonts w:cs="Arial"/>
                <w:color w:val="000000"/>
                <w:szCs w:val="22"/>
                <w:lang w:eastAsia="zh-CN" w:bidi="th-TH"/>
              </w:rPr>
            </w:pPr>
            <w:r w:rsidRPr="003A7C01">
              <w:rPr>
                <w:rFonts w:cs="Arial"/>
                <w:color w:val="000000"/>
                <w:szCs w:val="22"/>
                <w:lang w:eastAsia="zh-CN" w:bidi="th-TH"/>
              </w:rPr>
              <w:t>Staff costs </w:t>
            </w:r>
          </w:p>
        </w:tc>
        <w:tc>
          <w:tcPr>
            <w:tcW w:w="1834" w:type="dxa"/>
            <w:tcBorders>
              <w:top w:val="nil"/>
              <w:left w:val="nil"/>
              <w:bottom w:val="single" w:sz="4" w:space="0" w:color="auto"/>
              <w:right w:val="single" w:sz="4" w:space="0" w:color="auto"/>
            </w:tcBorders>
            <w:shd w:val="clear" w:color="auto" w:fill="auto"/>
            <w:vAlign w:val="center"/>
            <w:hideMark/>
          </w:tcPr>
          <w:p w14:paraId="4B13339C" w14:textId="77777777" w:rsidR="008D2291" w:rsidRPr="003A7C01" w:rsidRDefault="008D22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(32,858)</w:t>
            </w:r>
          </w:p>
        </w:tc>
        <w:tc>
          <w:tcPr>
            <w:tcW w:w="1834" w:type="dxa"/>
            <w:tcBorders>
              <w:top w:val="nil"/>
              <w:left w:val="nil"/>
              <w:bottom w:val="single" w:sz="4" w:space="0" w:color="auto"/>
              <w:right w:val="single" w:sz="4" w:space="0" w:color="auto"/>
            </w:tcBorders>
            <w:shd w:val="clear" w:color="000000" w:fill="D9D9D9"/>
            <w:vAlign w:val="center"/>
            <w:hideMark/>
          </w:tcPr>
          <w:p w14:paraId="3AAFCABA" w14:textId="77777777" w:rsidR="008D2291" w:rsidRPr="003A7C01" w:rsidRDefault="008D22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(32,820)</w:t>
            </w:r>
          </w:p>
        </w:tc>
        <w:tc>
          <w:tcPr>
            <w:tcW w:w="1834" w:type="dxa"/>
            <w:tcBorders>
              <w:top w:val="nil"/>
              <w:left w:val="nil"/>
              <w:bottom w:val="single" w:sz="4" w:space="0" w:color="auto"/>
              <w:right w:val="single" w:sz="4" w:space="0" w:color="auto"/>
            </w:tcBorders>
            <w:shd w:val="clear" w:color="auto" w:fill="auto"/>
            <w:vAlign w:val="center"/>
            <w:hideMark/>
          </w:tcPr>
          <w:p w14:paraId="0501205C" w14:textId="77777777" w:rsidR="008D2291" w:rsidRPr="003A7C01" w:rsidRDefault="008D22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(38,417)</w:t>
            </w:r>
          </w:p>
        </w:tc>
      </w:tr>
      <w:tr w:rsidR="008D2291" w:rsidRPr="003A7C01" w14:paraId="341A8FB2" w14:textId="77777777" w:rsidTr="00417688">
        <w:trPr>
          <w:trHeight w:val="752"/>
        </w:trPr>
        <w:tc>
          <w:tcPr>
            <w:tcW w:w="4134" w:type="dxa"/>
            <w:tcBorders>
              <w:top w:val="nil"/>
              <w:left w:val="single" w:sz="4" w:space="0" w:color="auto"/>
              <w:bottom w:val="single" w:sz="4" w:space="0" w:color="auto"/>
              <w:right w:val="single" w:sz="4" w:space="0" w:color="auto"/>
            </w:tcBorders>
            <w:shd w:val="clear" w:color="auto" w:fill="auto"/>
            <w:vAlign w:val="center"/>
            <w:hideMark/>
          </w:tcPr>
          <w:p w14:paraId="036DE41A" w14:textId="77777777" w:rsidR="008D2291" w:rsidRPr="003A7C01" w:rsidRDefault="008D2291" w:rsidP="00417688">
            <w:pPr>
              <w:spacing w:after="0" w:line="240" w:lineRule="auto"/>
              <w:rPr>
                <w:rFonts w:cs="Arial"/>
                <w:color w:val="000000"/>
                <w:szCs w:val="22"/>
                <w:lang w:eastAsia="zh-CN" w:bidi="th-TH"/>
              </w:rPr>
            </w:pPr>
            <w:r w:rsidRPr="003A7C01">
              <w:rPr>
                <w:rFonts w:cs="Arial"/>
                <w:color w:val="000000"/>
                <w:szCs w:val="22"/>
                <w:lang w:eastAsia="zh-CN" w:bidi="th-TH"/>
              </w:rPr>
              <w:t>Administration </w:t>
            </w:r>
          </w:p>
        </w:tc>
        <w:tc>
          <w:tcPr>
            <w:tcW w:w="1834" w:type="dxa"/>
            <w:tcBorders>
              <w:top w:val="nil"/>
              <w:left w:val="nil"/>
              <w:bottom w:val="single" w:sz="4" w:space="0" w:color="auto"/>
              <w:right w:val="single" w:sz="4" w:space="0" w:color="auto"/>
            </w:tcBorders>
            <w:shd w:val="clear" w:color="auto" w:fill="auto"/>
            <w:vAlign w:val="center"/>
            <w:hideMark/>
          </w:tcPr>
          <w:p w14:paraId="29D47A09" w14:textId="77777777" w:rsidR="008D2291" w:rsidRPr="003A7C01" w:rsidRDefault="008D22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(6,130)</w:t>
            </w:r>
          </w:p>
        </w:tc>
        <w:tc>
          <w:tcPr>
            <w:tcW w:w="1834" w:type="dxa"/>
            <w:tcBorders>
              <w:top w:val="nil"/>
              <w:left w:val="nil"/>
              <w:bottom w:val="single" w:sz="4" w:space="0" w:color="auto"/>
              <w:right w:val="single" w:sz="4" w:space="0" w:color="auto"/>
            </w:tcBorders>
            <w:shd w:val="clear" w:color="000000" w:fill="D9D9D9"/>
            <w:vAlign w:val="center"/>
            <w:hideMark/>
          </w:tcPr>
          <w:p w14:paraId="575A74C6" w14:textId="77777777" w:rsidR="008D2291" w:rsidRPr="003A7C01" w:rsidRDefault="008D22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(6,350)</w:t>
            </w:r>
          </w:p>
        </w:tc>
        <w:tc>
          <w:tcPr>
            <w:tcW w:w="1834" w:type="dxa"/>
            <w:tcBorders>
              <w:top w:val="nil"/>
              <w:left w:val="nil"/>
              <w:bottom w:val="single" w:sz="4" w:space="0" w:color="auto"/>
              <w:right w:val="single" w:sz="4" w:space="0" w:color="auto"/>
            </w:tcBorders>
            <w:shd w:val="clear" w:color="auto" w:fill="auto"/>
            <w:vAlign w:val="center"/>
            <w:hideMark/>
          </w:tcPr>
          <w:p w14:paraId="443EB109" w14:textId="77777777" w:rsidR="008D2291" w:rsidRPr="003A7C01" w:rsidRDefault="008D22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(11,444)</w:t>
            </w:r>
          </w:p>
        </w:tc>
      </w:tr>
      <w:tr w:rsidR="008D2291" w:rsidRPr="003A7C01" w14:paraId="005DE55C" w14:textId="77777777" w:rsidTr="00417688">
        <w:trPr>
          <w:trHeight w:val="752"/>
        </w:trPr>
        <w:tc>
          <w:tcPr>
            <w:tcW w:w="4134" w:type="dxa"/>
            <w:tcBorders>
              <w:top w:val="nil"/>
              <w:left w:val="single" w:sz="4" w:space="0" w:color="auto"/>
              <w:bottom w:val="single" w:sz="4" w:space="0" w:color="auto"/>
              <w:right w:val="single" w:sz="4" w:space="0" w:color="auto"/>
            </w:tcBorders>
            <w:shd w:val="clear" w:color="auto" w:fill="auto"/>
            <w:vAlign w:val="center"/>
            <w:hideMark/>
          </w:tcPr>
          <w:p w14:paraId="7A0768F1" w14:textId="77777777" w:rsidR="008D2291" w:rsidRPr="003A7C01" w:rsidRDefault="008D2291" w:rsidP="00417688">
            <w:pPr>
              <w:spacing w:after="0" w:line="240" w:lineRule="auto"/>
              <w:rPr>
                <w:rFonts w:cs="Arial"/>
                <w:color w:val="000000"/>
                <w:szCs w:val="22"/>
                <w:lang w:eastAsia="zh-CN" w:bidi="th-TH"/>
              </w:rPr>
            </w:pPr>
            <w:r w:rsidRPr="003A7C01">
              <w:rPr>
                <w:rFonts w:cs="Arial"/>
                <w:color w:val="000000"/>
                <w:szCs w:val="22"/>
                <w:lang w:eastAsia="zh-CN" w:bidi="th-TH"/>
              </w:rPr>
              <w:t>Depreciation and Revaluation </w:t>
            </w:r>
          </w:p>
        </w:tc>
        <w:tc>
          <w:tcPr>
            <w:tcW w:w="1834" w:type="dxa"/>
            <w:tcBorders>
              <w:top w:val="nil"/>
              <w:left w:val="nil"/>
              <w:bottom w:val="single" w:sz="4" w:space="0" w:color="auto"/>
              <w:right w:val="single" w:sz="4" w:space="0" w:color="auto"/>
            </w:tcBorders>
            <w:shd w:val="clear" w:color="auto" w:fill="auto"/>
            <w:vAlign w:val="center"/>
            <w:hideMark/>
          </w:tcPr>
          <w:p w14:paraId="0951D81F" w14:textId="77777777" w:rsidR="008D2291" w:rsidRPr="003A7C01" w:rsidRDefault="008D22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(574)</w:t>
            </w:r>
          </w:p>
        </w:tc>
        <w:tc>
          <w:tcPr>
            <w:tcW w:w="1834" w:type="dxa"/>
            <w:tcBorders>
              <w:top w:val="nil"/>
              <w:left w:val="nil"/>
              <w:bottom w:val="single" w:sz="4" w:space="0" w:color="auto"/>
              <w:right w:val="single" w:sz="4" w:space="0" w:color="auto"/>
            </w:tcBorders>
            <w:shd w:val="clear" w:color="000000" w:fill="D9D9D9"/>
            <w:vAlign w:val="center"/>
            <w:hideMark/>
          </w:tcPr>
          <w:p w14:paraId="23DCC666" w14:textId="77777777" w:rsidR="008D2291" w:rsidRPr="003A7C01" w:rsidRDefault="008D22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(568)</w:t>
            </w:r>
          </w:p>
        </w:tc>
        <w:tc>
          <w:tcPr>
            <w:tcW w:w="1834" w:type="dxa"/>
            <w:tcBorders>
              <w:top w:val="nil"/>
              <w:left w:val="nil"/>
              <w:bottom w:val="single" w:sz="4" w:space="0" w:color="auto"/>
              <w:right w:val="single" w:sz="4" w:space="0" w:color="auto"/>
            </w:tcBorders>
            <w:shd w:val="clear" w:color="auto" w:fill="auto"/>
            <w:vAlign w:val="center"/>
            <w:hideMark/>
          </w:tcPr>
          <w:p w14:paraId="67B4062D" w14:textId="77777777" w:rsidR="008D2291" w:rsidRPr="003A7C01" w:rsidRDefault="008D2291" w:rsidP="00417688">
            <w:pPr>
              <w:spacing w:after="0" w:line="240" w:lineRule="auto"/>
              <w:jc w:val="right"/>
              <w:rPr>
                <w:rFonts w:cs="Arial"/>
                <w:color w:val="000000"/>
                <w:szCs w:val="22"/>
                <w:lang w:eastAsia="zh-CN" w:bidi="th-TH"/>
              </w:rPr>
            </w:pPr>
            <w:r w:rsidRPr="003A7C01">
              <w:rPr>
                <w:rFonts w:cs="Arial"/>
                <w:color w:val="000000"/>
                <w:szCs w:val="22"/>
                <w:lang w:eastAsia="zh-CN" w:bidi="th-TH"/>
              </w:rPr>
              <w:t>(1,017)</w:t>
            </w:r>
          </w:p>
        </w:tc>
      </w:tr>
      <w:tr w:rsidR="008D2291" w:rsidRPr="003A7C01" w14:paraId="5153D387" w14:textId="77777777" w:rsidTr="00417688">
        <w:trPr>
          <w:trHeight w:val="752"/>
        </w:trPr>
        <w:tc>
          <w:tcPr>
            <w:tcW w:w="4134" w:type="dxa"/>
            <w:tcBorders>
              <w:top w:val="nil"/>
              <w:left w:val="single" w:sz="4" w:space="0" w:color="auto"/>
              <w:bottom w:val="single" w:sz="4" w:space="0" w:color="auto"/>
              <w:right w:val="single" w:sz="4" w:space="0" w:color="auto"/>
            </w:tcBorders>
            <w:shd w:val="clear" w:color="000000" w:fill="D9D9D9"/>
            <w:vAlign w:val="center"/>
            <w:hideMark/>
          </w:tcPr>
          <w:p w14:paraId="2D34BB50" w14:textId="77777777" w:rsidR="008D2291" w:rsidRPr="003A7C01" w:rsidRDefault="008D2291" w:rsidP="00417688">
            <w:pPr>
              <w:spacing w:after="0" w:line="240" w:lineRule="auto"/>
              <w:rPr>
                <w:rFonts w:cs="Arial"/>
                <w:b/>
                <w:bCs/>
                <w:color w:val="000000"/>
                <w:szCs w:val="22"/>
                <w:lang w:eastAsia="zh-CN" w:bidi="th-TH"/>
              </w:rPr>
            </w:pPr>
            <w:r w:rsidRPr="003A7C01">
              <w:rPr>
                <w:rFonts w:cs="Arial"/>
                <w:b/>
                <w:bCs/>
                <w:color w:val="000000"/>
                <w:szCs w:val="22"/>
                <w:lang w:eastAsia="zh-CN" w:bidi="th-TH"/>
              </w:rPr>
              <w:t>Total Expenditure</w:t>
            </w:r>
            <w:r w:rsidRPr="003A7C01">
              <w:rPr>
                <w:rFonts w:cs="Arial"/>
                <w:color w:val="000000"/>
                <w:szCs w:val="22"/>
                <w:lang w:eastAsia="zh-CN" w:bidi="th-TH"/>
              </w:rPr>
              <w:t> </w:t>
            </w:r>
          </w:p>
        </w:tc>
        <w:tc>
          <w:tcPr>
            <w:tcW w:w="1834" w:type="dxa"/>
            <w:tcBorders>
              <w:top w:val="nil"/>
              <w:left w:val="nil"/>
              <w:bottom w:val="single" w:sz="4" w:space="0" w:color="auto"/>
              <w:right w:val="single" w:sz="4" w:space="0" w:color="auto"/>
            </w:tcBorders>
            <w:shd w:val="clear" w:color="000000" w:fill="D9D9D9"/>
            <w:vAlign w:val="center"/>
            <w:hideMark/>
          </w:tcPr>
          <w:p w14:paraId="5B02AB14" w14:textId="77777777" w:rsidR="008D2291" w:rsidRPr="003A7C01" w:rsidRDefault="008D2291" w:rsidP="00417688">
            <w:pPr>
              <w:spacing w:after="0" w:line="240" w:lineRule="auto"/>
              <w:jc w:val="right"/>
              <w:rPr>
                <w:rFonts w:cs="Arial"/>
                <w:b/>
                <w:bCs/>
                <w:color w:val="000000"/>
                <w:szCs w:val="22"/>
                <w:lang w:eastAsia="zh-CN" w:bidi="th-TH"/>
              </w:rPr>
            </w:pPr>
            <w:r w:rsidRPr="003A7C01">
              <w:rPr>
                <w:rFonts w:cs="Arial"/>
                <w:b/>
                <w:bCs/>
                <w:color w:val="000000"/>
                <w:szCs w:val="22"/>
                <w:lang w:eastAsia="zh-CN" w:bidi="th-TH"/>
              </w:rPr>
              <w:t>(85,102)</w:t>
            </w:r>
          </w:p>
        </w:tc>
        <w:tc>
          <w:tcPr>
            <w:tcW w:w="1834" w:type="dxa"/>
            <w:tcBorders>
              <w:top w:val="nil"/>
              <w:left w:val="nil"/>
              <w:bottom w:val="single" w:sz="4" w:space="0" w:color="auto"/>
              <w:right w:val="single" w:sz="4" w:space="0" w:color="auto"/>
            </w:tcBorders>
            <w:shd w:val="clear" w:color="000000" w:fill="D9D9D9"/>
            <w:vAlign w:val="center"/>
            <w:hideMark/>
          </w:tcPr>
          <w:p w14:paraId="1069FD47" w14:textId="77777777" w:rsidR="008D2291" w:rsidRPr="003A7C01" w:rsidRDefault="008D2291" w:rsidP="00417688">
            <w:pPr>
              <w:spacing w:after="0" w:line="240" w:lineRule="auto"/>
              <w:jc w:val="right"/>
              <w:rPr>
                <w:rFonts w:cs="Arial"/>
                <w:b/>
                <w:bCs/>
                <w:color w:val="000000"/>
                <w:szCs w:val="22"/>
                <w:lang w:eastAsia="zh-CN" w:bidi="th-TH"/>
              </w:rPr>
            </w:pPr>
            <w:r w:rsidRPr="003A7C01">
              <w:rPr>
                <w:rFonts w:cs="Arial"/>
                <w:b/>
                <w:bCs/>
                <w:color w:val="000000"/>
                <w:szCs w:val="22"/>
                <w:lang w:eastAsia="zh-CN" w:bidi="th-TH"/>
              </w:rPr>
              <w:t>(88,220)</w:t>
            </w:r>
          </w:p>
        </w:tc>
        <w:tc>
          <w:tcPr>
            <w:tcW w:w="1834" w:type="dxa"/>
            <w:tcBorders>
              <w:top w:val="nil"/>
              <w:left w:val="nil"/>
              <w:bottom w:val="single" w:sz="4" w:space="0" w:color="auto"/>
              <w:right w:val="single" w:sz="4" w:space="0" w:color="auto"/>
            </w:tcBorders>
            <w:shd w:val="clear" w:color="000000" w:fill="D9D9D9"/>
            <w:vAlign w:val="center"/>
            <w:hideMark/>
          </w:tcPr>
          <w:p w14:paraId="4D264C8E" w14:textId="77777777" w:rsidR="008D2291" w:rsidRPr="003A7C01" w:rsidRDefault="008D2291" w:rsidP="00417688">
            <w:pPr>
              <w:spacing w:after="0" w:line="240" w:lineRule="auto"/>
              <w:jc w:val="right"/>
              <w:rPr>
                <w:rFonts w:cs="Arial"/>
                <w:b/>
                <w:bCs/>
                <w:color w:val="000000"/>
                <w:szCs w:val="22"/>
                <w:lang w:eastAsia="zh-CN" w:bidi="th-TH"/>
              </w:rPr>
            </w:pPr>
            <w:r w:rsidRPr="003A7C01">
              <w:rPr>
                <w:rFonts w:cs="Arial"/>
                <w:b/>
                <w:bCs/>
                <w:color w:val="000000"/>
                <w:szCs w:val="22"/>
                <w:lang w:eastAsia="zh-CN" w:bidi="th-TH"/>
              </w:rPr>
              <w:t>(106,655)</w:t>
            </w:r>
          </w:p>
        </w:tc>
      </w:tr>
    </w:tbl>
    <w:p w14:paraId="515AFF76" w14:textId="77777777" w:rsidR="009656BE" w:rsidRDefault="009656BE" w:rsidP="008A7471"/>
    <w:sectPr w:rsidR="009656BE" w:rsidSect="00134064">
      <w:headerReference w:type="even" r:id="rId14"/>
      <w:headerReference w:type="default" r:id="rId15"/>
      <w:footerReference w:type="even" r:id="rId16"/>
      <w:footerReference w:type="default" r:id="rId17"/>
      <w:headerReference w:type="first" r:id="rId18"/>
      <w:footerReference w:type="first" r:id="rId19"/>
      <w:pgSz w:w="11900" w:h="16820" w:code="9"/>
      <w:pgMar w:top="1418" w:right="907" w:bottom="709"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94A62" w14:textId="77777777" w:rsidR="00134064" w:rsidRDefault="00134064">
      <w:pPr>
        <w:spacing w:after="0" w:line="240" w:lineRule="auto"/>
      </w:pPr>
      <w:r>
        <w:separator/>
      </w:r>
    </w:p>
  </w:endnote>
  <w:endnote w:type="continuationSeparator" w:id="0">
    <w:p w14:paraId="7F4D71F8" w14:textId="77777777" w:rsidR="00134064" w:rsidRDefault="00134064">
      <w:pPr>
        <w:spacing w:after="0" w:line="240" w:lineRule="auto"/>
      </w:pPr>
      <w:r>
        <w:continuationSeparator/>
      </w:r>
    </w:p>
  </w:endnote>
  <w:endnote w:type="continuationNotice" w:id="1">
    <w:p w14:paraId="5F8E5BEC" w14:textId="77777777" w:rsidR="00134064" w:rsidRDefault="00134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59CB6" w14:textId="77777777" w:rsidR="00D04D84" w:rsidRDefault="00C8737B" w:rsidP="00031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69D6C0" w14:textId="77777777" w:rsidR="00D04D84" w:rsidRDefault="00D04D84" w:rsidP="000315EB">
    <w:pPr>
      <w:pStyle w:val="Footer"/>
      <w:ind w:right="360" w:firstLine="360"/>
    </w:pPr>
  </w:p>
  <w:p w14:paraId="1760350E" w14:textId="77777777" w:rsidR="00D04D84" w:rsidRDefault="00D04D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1BC96" w14:textId="77777777" w:rsidR="00D04D84" w:rsidRDefault="00C8737B" w:rsidP="000315E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2C032DC7" wp14:editId="10FFFC4B">
              <wp:simplePos x="0" y="0"/>
              <wp:positionH relativeFrom="page">
                <wp:posOffset>180340</wp:posOffset>
              </wp:positionH>
              <wp:positionV relativeFrom="page">
                <wp:posOffset>10235565</wp:posOffset>
              </wp:positionV>
              <wp:extent cx="7200265" cy="0"/>
              <wp:effectExtent l="0" t="0" r="13335" b="25400"/>
              <wp:wrapNone/>
              <wp:docPr id="2" name="Straight Connector 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5E506A9">
            <v:line id="Straight Connector 2"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1AC5C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90464" w14:textId="77777777" w:rsidR="00D04D84" w:rsidRPr="008636E1" w:rsidRDefault="00C8737B" w:rsidP="000315E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7D08ED56" wp14:editId="5A85E7EA">
              <wp:simplePos x="0" y="0"/>
              <wp:positionH relativeFrom="page">
                <wp:posOffset>180340</wp:posOffset>
              </wp:positionH>
              <wp:positionV relativeFrom="page">
                <wp:posOffset>10235565</wp:posOffset>
              </wp:positionV>
              <wp:extent cx="7200265" cy="0"/>
              <wp:effectExtent l="0" t="0" r="13335" b="25400"/>
              <wp:wrapNone/>
              <wp:docPr id="10" name="Straight Connector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793BA4C1">
            <v:line id="Straight Connector 10"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530BA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FB97A" w14:textId="77777777" w:rsidR="00134064" w:rsidRDefault="00134064">
      <w:pPr>
        <w:spacing w:after="0" w:line="240" w:lineRule="auto"/>
      </w:pPr>
      <w:r>
        <w:separator/>
      </w:r>
    </w:p>
  </w:footnote>
  <w:footnote w:type="continuationSeparator" w:id="0">
    <w:p w14:paraId="2E7F1F7A" w14:textId="77777777" w:rsidR="00134064" w:rsidRDefault="00134064">
      <w:pPr>
        <w:spacing w:after="0" w:line="240" w:lineRule="auto"/>
      </w:pPr>
      <w:r>
        <w:continuationSeparator/>
      </w:r>
    </w:p>
  </w:footnote>
  <w:footnote w:type="continuationNotice" w:id="1">
    <w:p w14:paraId="11D89F4B" w14:textId="77777777" w:rsidR="00134064" w:rsidRDefault="00134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85C6" w14:textId="77777777" w:rsidR="00D04D84" w:rsidRDefault="00BF1962" w:rsidP="000315EB">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43" behindDoc="0" locked="0" layoutInCell="1" allowOverlap="1" wp14:anchorId="1724EA73" wp14:editId="7E430687">
              <wp:simplePos x="635" y="635"/>
              <wp:positionH relativeFrom="page">
                <wp:align>center</wp:align>
              </wp:positionH>
              <wp:positionV relativeFrom="page">
                <wp:align>top</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ED698"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24EA73"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1ED698"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PAGE  </w:instrText>
    </w:r>
    <w:r w:rsidR="00C8737B">
      <w:rPr>
        <w:rStyle w:val="PageNumber"/>
      </w:rPr>
      <w:fldChar w:fldCharType="separate"/>
    </w:r>
    <w:r w:rsidR="00C8737B">
      <w:rPr>
        <w:rStyle w:val="PageNumber"/>
        <w:noProof/>
      </w:rPr>
      <w:t>2</w:t>
    </w:r>
    <w:r w:rsidR="00C8737B">
      <w:rPr>
        <w:rStyle w:val="PageNumber"/>
      </w:rPr>
      <w:fldChar w:fldCharType="end"/>
    </w:r>
  </w:p>
  <w:p w14:paraId="4685ADB5" w14:textId="77777777" w:rsidR="00D04D84" w:rsidRDefault="00D04D84" w:rsidP="000315EB">
    <w:pPr>
      <w:pStyle w:val="Header"/>
      <w:ind w:right="360"/>
    </w:pPr>
  </w:p>
  <w:p w14:paraId="1165DC1D" w14:textId="77777777" w:rsidR="00D04D84" w:rsidRDefault="00D04D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7A654" w14:textId="77777777" w:rsidR="00D04D84" w:rsidRPr="006A6FC6" w:rsidRDefault="00BF1962" w:rsidP="000315EB">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0" distR="0" simplePos="0" relativeHeight="251658244" behindDoc="0" locked="0" layoutInCell="1" allowOverlap="1" wp14:anchorId="6C5E778E" wp14:editId="7F1D6F01">
              <wp:simplePos x="635" y="635"/>
              <wp:positionH relativeFrom="page">
                <wp:align>center</wp:align>
              </wp:positionH>
              <wp:positionV relativeFrom="page">
                <wp:align>top</wp:align>
              </wp:positionV>
              <wp:extent cx="443865" cy="443865"/>
              <wp:effectExtent l="0" t="0" r="2540" b="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2CC29"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5E778E"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892CC29"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0FD4E253" w14:textId="435C8BFB" w:rsidR="00D04D84" w:rsidRPr="00EF7C5C" w:rsidRDefault="00C8737B" w:rsidP="000315EB">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27387346" wp14:editId="3BAB0C49">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clsh="http://schemas.microsoft.com/office/drawing/2020/classificationShap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clsh="http://schemas.microsoft.com/office/drawing/2020/classificationShape" xmlns:a14="http://schemas.microsoft.com/office/drawing/2010/main" xmlns:arto="http://schemas.microsoft.com/office/word/2006/arto">
          <w:pict w14:anchorId="724366EC">
            <v:line id="Straight Connector 3"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753A4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w10:wrap anchorx="page" anchory="page"/>
              <w10:anchorlock/>
            </v:line>
          </w:pict>
        </mc:Fallback>
      </mc:AlternateContent>
    </w:r>
    <w:r w:rsidR="00366E11">
      <w:rPr>
        <w:rFonts w:ascii="Arial Bold" w:hAnsi="Arial Bold" w:cs="Arial"/>
        <w:b/>
        <w:color w:val="B1005D"/>
        <w:sz w:val="18"/>
        <w:szCs w:val="18"/>
      </w:rPr>
      <w:t xml:space="preserve">2023-24 Quarter </w:t>
    </w:r>
    <w:r w:rsidR="007E216D">
      <w:rPr>
        <w:rFonts w:ascii="Arial Bold" w:hAnsi="Arial Bold" w:cs="Arial"/>
        <w:b/>
        <w:color w:val="B1005D"/>
        <w:sz w:val="18"/>
        <w:szCs w:val="18"/>
      </w:rPr>
      <w:t xml:space="preserve">Three </w:t>
    </w:r>
    <w:r w:rsidR="00366E11">
      <w:rPr>
        <w:rFonts w:ascii="Arial Bold" w:hAnsi="Arial Bold" w:cs="Arial"/>
        <w:b/>
        <w:color w:val="B1005D"/>
        <w:sz w:val="18"/>
        <w:szCs w:val="18"/>
      </w:rP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1555A" w14:textId="77777777" w:rsidR="00D04D84" w:rsidRPr="00833658" w:rsidRDefault="00BF1962" w:rsidP="000315EB">
    <w:pPr>
      <w:pStyle w:val="VLAProgram"/>
      <w:pBdr>
        <w:bottom w:val="none" w:sz="0" w:space="0" w:color="auto"/>
      </w:pBdr>
      <w:rPr>
        <w:color w:val="FFFFFF" w:themeColor="background1"/>
      </w:rPr>
    </w:pPr>
    <w:r>
      <w:rPr>
        <w:noProof/>
        <w:lang w:val="en-US"/>
      </w:rPr>
      <w:drawing>
        <wp:anchor distT="0" distB="0" distL="114300" distR="114300" simplePos="0" relativeHeight="251658245" behindDoc="1" locked="0" layoutInCell="1" allowOverlap="1" wp14:anchorId="477E8A49" wp14:editId="5C8BDF78">
          <wp:simplePos x="0" y="0"/>
          <wp:positionH relativeFrom="page">
            <wp:posOffset>0</wp:posOffset>
          </wp:positionH>
          <wp:positionV relativeFrom="page">
            <wp:posOffset>0</wp:posOffset>
          </wp:positionV>
          <wp:extent cx="7560000" cy="1270800"/>
          <wp:effectExtent l="0" t="0" r="0" b="0"/>
          <wp:wrapNone/>
          <wp:docPr id="1847288000" name="Picture 184728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39D4196A" w14:textId="77777777" w:rsidR="00D04D84" w:rsidRPr="00D82005" w:rsidRDefault="00D04D84" w:rsidP="000315EB">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D43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695831F1"/>
    <w:multiLevelType w:val="hybridMultilevel"/>
    <w:tmpl w:val="534A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892696977">
    <w:abstractNumId w:val="12"/>
  </w:num>
  <w:num w:numId="2" w16cid:durableId="1016233601">
    <w:abstractNumId w:val="9"/>
  </w:num>
  <w:num w:numId="3" w16cid:durableId="1319380714">
    <w:abstractNumId w:val="10"/>
  </w:num>
  <w:num w:numId="4" w16cid:durableId="110173964">
    <w:abstractNumId w:val="7"/>
  </w:num>
  <w:num w:numId="5" w16cid:durableId="586231864">
    <w:abstractNumId w:val="14"/>
  </w:num>
  <w:num w:numId="6" w16cid:durableId="2116515627">
    <w:abstractNumId w:val="6"/>
  </w:num>
  <w:num w:numId="7" w16cid:durableId="868878734">
    <w:abstractNumId w:val="14"/>
  </w:num>
  <w:num w:numId="8" w16cid:durableId="1761369738">
    <w:abstractNumId w:val="5"/>
  </w:num>
  <w:num w:numId="9" w16cid:durableId="283344407">
    <w:abstractNumId w:val="4"/>
  </w:num>
  <w:num w:numId="10" w16cid:durableId="1600411382">
    <w:abstractNumId w:val="4"/>
  </w:num>
  <w:num w:numId="11" w16cid:durableId="52243711">
    <w:abstractNumId w:val="8"/>
  </w:num>
  <w:num w:numId="12" w16cid:durableId="1719626052">
    <w:abstractNumId w:val="8"/>
  </w:num>
  <w:num w:numId="13" w16cid:durableId="1066877761">
    <w:abstractNumId w:val="3"/>
  </w:num>
  <w:num w:numId="14" w16cid:durableId="1702126822">
    <w:abstractNumId w:val="3"/>
  </w:num>
  <w:num w:numId="15" w16cid:durableId="1686009286">
    <w:abstractNumId w:val="2"/>
  </w:num>
  <w:num w:numId="16" w16cid:durableId="538051075">
    <w:abstractNumId w:val="2"/>
  </w:num>
  <w:num w:numId="17" w16cid:durableId="1515073001">
    <w:abstractNumId w:val="1"/>
  </w:num>
  <w:num w:numId="18" w16cid:durableId="1348214158">
    <w:abstractNumId w:val="1"/>
  </w:num>
  <w:num w:numId="19" w16cid:durableId="23948277">
    <w:abstractNumId w:val="0"/>
  </w:num>
  <w:num w:numId="20" w16cid:durableId="199326006">
    <w:abstractNumId w:val="0"/>
  </w:num>
  <w:num w:numId="21" w16cid:durableId="1584021663">
    <w:abstractNumId w:val="13"/>
  </w:num>
  <w:num w:numId="22" w16cid:durableId="1937127992">
    <w:abstractNumId w:val="13"/>
  </w:num>
  <w:num w:numId="23" w16cid:durableId="714474809">
    <w:abstractNumId w:val="11"/>
  </w:num>
  <w:num w:numId="24" w16cid:durableId="33389200">
    <w:abstractNumId w:val="16"/>
  </w:num>
  <w:num w:numId="25" w16cid:durableId="10522695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NjexNLc0NjSzMLZQ0lEKTi0uzszPAykwqQUAgB/rQiwAAAA="/>
  </w:docVars>
  <w:rsids>
    <w:rsidRoot w:val="008A7471"/>
    <w:rsid w:val="0000363D"/>
    <w:rsid w:val="0000731B"/>
    <w:rsid w:val="00007954"/>
    <w:rsid w:val="000101AD"/>
    <w:rsid w:val="000168A4"/>
    <w:rsid w:val="000315EB"/>
    <w:rsid w:val="00043F10"/>
    <w:rsid w:val="000443F0"/>
    <w:rsid w:val="00047DF7"/>
    <w:rsid w:val="00051AAC"/>
    <w:rsid w:val="00054AA3"/>
    <w:rsid w:val="000551D2"/>
    <w:rsid w:val="00062818"/>
    <w:rsid w:val="00065D7C"/>
    <w:rsid w:val="00066921"/>
    <w:rsid w:val="00070301"/>
    <w:rsid w:val="000738A2"/>
    <w:rsid w:val="00077831"/>
    <w:rsid w:val="00082332"/>
    <w:rsid w:val="0008464D"/>
    <w:rsid w:val="00092CBC"/>
    <w:rsid w:val="00096B52"/>
    <w:rsid w:val="00097448"/>
    <w:rsid w:val="000A0349"/>
    <w:rsid w:val="000A0A14"/>
    <w:rsid w:val="000A2FBE"/>
    <w:rsid w:val="000A3C2D"/>
    <w:rsid w:val="000B1BAA"/>
    <w:rsid w:val="000B2451"/>
    <w:rsid w:val="000C11B3"/>
    <w:rsid w:val="000C14B8"/>
    <w:rsid w:val="000C1648"/>
    <w:rsid w:val="000C3DF5"/>
    <w:rsid w:val="000C5254"/>
    <w:rsid w:val="000C7FB4"/>
    <w:rsid w:val="000D423D"/>
    <w:rsid w:val="000D751B"/>
    <w:rsid w:val="000D7C27"/>
    <w:rsid w:val="000E0791"/>
    <w:rsid w:val="000E78F8"/>
    <w:rsid w:val="000F0C95"/>
    <w:rsid w:val="000F1F56"/>
    <w:rsid w:val="000F1F99"/>
    <w:rsid w:val="000F5D53"/>
    <w:rsid w:val="000F7632"/>
    <w:rsid w:val="000F7B6C"/>
    <w:rsid w:val="00100EA4"/>
    <w:rsid w:val="0010136E"/>
    <w:rsid w:val="00105467"/>
    <w:rsid w:val="0010759F"/>
    <w:rsid w:val="00111796"/>
    <w:rsid w:val="00112CA5"/>
    <w:rsid w:val="00122E1E"/>
    <w:rsid w:val="0012449A"/>
    <w:rsid w:val="00125593"/>
    <w:rsid w:val="001261EC"/>
    <w:rsid w:val="00126C38"/>
    <w:rsid w:val="00131BF1"/>
    <w:rsid w:val="00134064"/>
    <w:rsid w:val="00137131"/>
    <w:rsid w:val="00141544"/>
    <w:rsid w:val="001423A0"/>
    <w:rsid w:val="00150B98"/>
    <w:rsid w:val="00151E61"/>
    <w:rsid w:val="001529B6"/>
    <w:rsid w:val="001548DD"/>
    <w:rsid w:val="00157397"/>
    <w:rsid w:val="001600C6"/>
    <w:rsid w:val="001618E9"/>
    <w:rsid w:val="001623E2"/>
    <w:rsid w:val="00163CC3"/>
    <w:rsid w:val="00164ABB"/>
    <w:rsid w:val="0017094E"/>
    <w:rsid w:val="0017501A"/>
    <w:rsid w:val="00176774"/>
    <w:rsid w:val="00177162"/>
    <w:rsid w:val="00181C91"/>
    <w:rsid w:val="00182147"/>
    <w:rsid w:val="0018629E"/>
    <w:rsid w:val="00190307"/>
    <w:rsid w:val="00190A92"/>
    <w:rsid w:val="00192FC1"/>
    <w:rsid w:val="00193E35"/>
    <w:rsid w:val="00194337"/>
    <w:rsid w:val="00195E1D"/>
    <w:rsid w:val="001A267E"/>
    <w:rsid w:val="001A27AB"/>
    <w:rsid w:val="001B337D"/>
    <w:rsid w:val="001B5543"/>
    <w:rsid w:val="001C0014"/>
    <w:rsid w:val="001C197A"/>
    <w:rsid w:val="001C2094"/>
    <w:rsid w:val="001C3BEC"/>
    <w:rsid w:val="001C4390"/>
    <w:rsid w:val="001C4D27"/>
    <w:rsid w:val="001D2F76"/>
    <w:rsid w:val="001E2D5B"/>
    <w:rsid w:val="001E3077"/>
    <w:rsid w:val="001E3078"/>
    <w:rsid w:val="001E348D"/>
    <w:rsid w:val="001E49FC"/>
    <w:rsid w:val="001E578D"/>
    <w:rsid w:val="001F4D90"/>
    <w:rsid w:val="001F5D5F"/>
    <w:rsid w:val="00200D07"/>
    <w:rsid w:val="00204ABA"/>
    <w:rsid w:val="00205C07"/>
    <w:rsid w:val="00212B87"/>
    <w:rsid w:val="00215A92"/>
    <w:rsid w:val="0021652E"/>
    <w:rsid w:val="00217DAD"/>
    <w:rsid w:val="00223BAF"/>
    <w:rsid w:val="00225411"/>
    <w:rsid w:val="002258AD"/>
    <w:rsid w:val="00230CE7"/>
    <w:rsid w:val="00230F9C"/>
    <w:rsid w:val="0023242D"/>
    <w:rsid w:val="002325A4"/>
    <w:rsid w:val="00236F1F"/>
    <w:rsid w:val="00240263"/>
    <w:rsid w:val="0024192D"/>
    <w:rsid w:val="00241A5C"/>
    <w:rsid w:val="00244242"/>
    <w:rsid w:val="00244E32"/>
    <w:rsid w:val="00247FE6"/>
    <w:rsid w:val="002508F5"/>
    <w:rsid w:val="00250E42"/>
    <w:rsid w:val="002530AC"/>
    <w:rsid w:val="002577B4"/>
    <w:rsid w:val="00257D8E"/>
    <w:rsid w:val="00263844"/>
    <w:rsid w:val="0026665A"/>
    <w:rsid w:val="002714D4"/>
    <w:rsid w:val="00271FA0"/>
    <w:rsid w:val="002722E4"/>
    <w:rsid w:val="00272765"/>
    <w:rsid w:val="002729E8"/>
    <w:rsid w:val="00273784"/>
    <w:rsid w:val="00276185"/>
    <w:rsid w:val="002766CF"/>
    <w:rsid w:val="00276D14"/>
    <w:rsid w:val="00280FAF"/>
    <w:rsid w:val="00281BC1"/>
    <w:rsid w:val="00283AC7"/>
    <w:rsid w:val="00284694"/>
    <w:rsid w:val="002863EC"/>
    <w:rsid w:val="00286C18"/>
    <w:rsid w:val="00286CAE"/>
    <w:rsid w:val="002915FB"/>
    <w:rsid w:val="002A00F7"/>
    <w:rsid w:val="002A26C4"/>
    <w:rsid w:val="002A4595"/>
    <w:rsid w:val="002A764E"/>
    <w:rsid w:val="002B00D3"/>
    <w:rsid w:val="002B2498"/>
    <w:rsid w:val="002B54CC"/>
    <w:rsid w:val="002C3253"/>
    <w:rsid w:val="002C3A5E"/>
    <w:rsid w:val="002C4EF6"/>
    <w:rsid w:val="002D1F2E"/>
    <w:rsid w:val="002D48AB"/>
    <w:rsid w:val="002D707C"/>
    <w:rsid w:val="002D7F39"/>
    <w:rsid w:val="002E3AB9"/>
    <w:rsid w:val="002E4ECC"/>
    <w:rsid w:val="002E65E7"/>
    <w:rsid w:val="002E69B8"/>
    <w:rsid w:val="002E6C79"/>
    <w:rsid w:val="002F3B51"/>
    <w:rsid w:val="00300E25"/>
    <w:rsid w:val="00300FDB"/>
    <w:rsid w:val="00302100"/>
    <w:rsid w:val="003059FE"/>
    <w:rsid w:val="0031443C"/>
    <w:rsid w:val="00317463"/>
    <w:rsid w:val="00320889"/>
    <w:rsid w:val="00320FDF"/>
    <w:rsid w:val="003219E0"/>
    <w:rsid w:val="00325353"/>
    <w:rsid w:val="00327794"/>
    <w:rsid w:val="003332EA"/>
    <w:rsid w:val="0033741B"/>
    <w:rsid w:val="003420C8"/>
    <w:rsid w:val="00342B2F"/>
    <w:rsid w:val="00343489"/>
    <w:rsid w:val="003436A1"/>
    <w:rsid w:val="0034629B"/>
    <w:rsid w:val="003538EF"/>
    <w:rsid w:val="00353D3E"/>
    <w:rsid w:val="00362CBB"/>
    <w:rsid w:val="00366E11"/>
    <w:rsid w:val="00375AE2"/>
    <w:rsid w:val="003765FB"/>
    <w:rsid w:val="00382AE2"/>
    <w:rsid w:val="003845CA"/>
    <w:rsid w:val="00386CE7"/>
    <w:rsid w:val="00390234"/>
    <w:rsid w:val="00390468"/>
    <w:rsid w:val="003924D7"/>
    <w:rsid w:val="00393122"/>
    <w:rsid w:val="003933FB"/>
    <w:rsid w:val="003969AD"/>
    <w:rsid w:val="003A354F"/>
    <w:rsid w:val="003B0DC7"/>
    <w:rsid w:val="003B154A"/>
    <w:rsid w:val="003B1728"/>
    <w:rsid w:val="003B2EF8"/>
    <w:rsid w:val="003B6B95"/>
    <w:rsid w:val="003B762B"/>
    <w:rsid w:val="003C0558"/>
    <w:rsid w:val="003C53C4"/>
    <w:rsid w:val="003C71E0"/>
    <w:rsid w:val="003D0F0C"/>
    <w:rsid w:val="003D4118"/>
    <w:rsid w:val="003E723D"/>
    <w:rsid w:val="003F0E2C"/>
    <w:rsid w:val="003F47FD"/>
    <w:rsid w:val="003F4CEC"/>
    <w:rsid w:val="00400498"/>
    <w:rsid w:val="00402774"/>
    <w:rsid w:val="00403D65"/>
    <w:rsid w:val="004051C8"/>
    <w:rsid w:val="00405967"/>
    <w:rsid w:val="00406FDB"/>
    <w:rsid w:val="00413795"/>
    <w:rsid w:val="00417688"/>
    <w:rsid w:val="0042149B"/>
    <w:rsid w:val="004220E1"/>
    <w:rsid w:val="00422688"/>
    <w:rsid w:val="00425C66"/>
    <w:rsid w:val="00426E95"/>
    <w:rsid w:val="00426F42"/>
    <w:rsid w:val="00433FD9"/>
    <w:rsid w:val="004356C3"/>
    <w:rsid w:val="00435FCB"/>
    <w:rsid w:val="00440289"/>
    <w:rsid w:val="00443B8E"/>
    <w:rsid w:val="00452DDB"/>
    <w:rsid w:val="004547C1"/>
    <w:rsid w:val="00454E95"/>
    <w:rsid w:val="004570D8"/>
    <w:rsid w:val="00461300"/>
    <w:rsid w:val="00461773"/>
    <w:rsid w:val="00465F99"/>
    <w:rsid w:val="00473E11"/>
    <w:rsid w:val="00476EC7"/>
    <w:rsid w:val="00477DB9"/>
    <w:rsid w:val="00481E81"/>
    <w:rsid w:val="00481FB3"/>
    <w:rsid w:val="00486430"/>
    <w:rsid w:val="004867C2"/>
    <w:rsid w:val="00486E71"/>
    <w:rsid w:val="00490944"/>
    <w:rsid w:val="00491E3C"/>
    <w:rsid w:val="00492DC3"/>
    <w:rsid w:val="004935BA"/>
    <w:rsid w:val="004A0B66"/>
    <w:rsid w:val="004A43C7"/>
    <w:rsid w:val="004A4D23"/>
    <w:rsid w:val="004A54B1"/>
    <w:rsid w:val="004A7464"/>
    <w:rsid w:val="004B5354"/>
    <w:rsid w:val="004B6119"/>
    <w:rsid w:val="004C57E9"/>
    <w:rsid w:val="004D2B4E"/>
    <w:rsid w:val="004D5830"/>
    <w:rsid w:val="004D7D07"/>
    <w:rsid w:val="004D7EF1"/>
    <w:rsid w:val="004E0161"/>
    <w:rsid w:val="004E27BF"/>
    <w:rsid w:val="004E32B8"/>
    <w:rsid w:val="004E4F7D"/>
    <w:rsid w:val="004E6C05"/>
    <w:rsid w:val="004F19C8"/>
    <w:rsid w:val="004F59F0"/>
    <w:rsid w:val="004F62C5"/>
    <w:rsid w:val="00501071"/>
    <w:rsid w:val="00502ACE"/>
    <w:rsid w:val="00513440"/>
    <w:rsid w:val="00513517"/>
    <w:rsid w:val="0051415D"/>
    <w:rsid w:val="0051641D"/>
    <w:rsid w:val="0052333D"/>
    <w:rsid w:val="00523B5F"/>
    <w:rsid w:val="00524F70"/>
    <w:rsid w:val="005276A4"/>
    <w:rsid w:val="00531EA3"/>
    <w:rsid w:val="005335F3"/>
    <w:rsid w:val="00536BF8"/>
    <w:rsid w:val="0054112C"/>
    <w:rsid w:val="0054252A"/>
    <w:rsid w:val="005433C5"/>
    <w:rsid w:val="005464A3"/>
    <w:rsid w:val="00553024"/>
    <w:rsid w:val="00553EA4"/>
    <w:rsid w:val="00571A00"/>
    <w:rsid w:val="00572060"/>
    <w:rsid w:val="00577E89"/>
    <w:rsid w:val="00580F99"/>
    <w:rsid w:val="0058112E"/>
    <w:rsid w:val="00590BB5"/>
    <w:rsid w:val="005A3A6C"/>
    <w:rsid w:val="005A46FB"/>
    <w:rsid w:val="005A65BC"/>
    <w:rsid w:val="005A708C"/>
    <w:rsid w:val="005A757A"/>
    <w:rsid w:val="005A77EA"/>
    <w:rsid w:val="005A78C4"/>
    <w:rsid w:val="005B1EE0"/>
    <w:rsid w:val="005B3E59"/>
    <w:rsid w:val="005B3FDD"/>
    <w:rsid w:val="005B6506"/>
    <w:rsid w:val="005B6584"/>
    <w:rsid w:val="005C3462"/>
    <w:rsid w:val="005C427E"/>
    <w:rsid w:val="005C7ECF"/>
    <w:rsid w:val="005D056C"/>
    <w:rsid w:val="005D1571"/>
    <w:rsid w:val="005D192E"/>
    <w:rsid w:val="005D3DF4"/>
    <w:rsid w:val="005E30A2"/>
    <w:rsid w:val="005E3EA6"/>
    <w:rsid w:val="005E7EB1"/>
    <w:rsid w:val="005F24CD"/>
    <w:rsid w:val="005F69AD"/>
    <w:rsid w:val="00606A7A"/>
    <w:rsid w:val="00613EDF"/>
    <w:rsid w:val="00615187"/>
    <w:rsid w:val="006156DE"/>
    <w:rsid w:val="00616BD6"/>
    <w:rsid w:val="00620DF7"/>
    <w:rsid w:val="00623789"/>
    <w:rsid w:val="00623D66"/>
    <w:rsid w:val="00626C27"/>
    <w:rsid w:val="00627BED"/>
    <w:rsid w:val="00634D3F"/>
    <w:rsid w:val="00640148"/>
    <w:rsid w:val="006445D3"/>
    <w:rsid w:val="00645B94"/>
    <w:rsid w:val="0064606C"/>
    <w:rsid w:val="00657160"/>
    <w:rsid w:val="00657EED"/>
    <w:rsid w:val="00660396"/>
    <w:rsid w:val="00660B59"/>
    <w:rsid w:val="006762A3"/>
    <w:rsid w:val="00681A73"/>
    <w:rsid w:val="006832A5"/>
    <w:rsid w:val="00687195"/>
    <w:rsid w:val="00694844"/>
    <w:rsid w:val="006965BD"/>
    <w:rsid w:val="006A019C"/>
    <w:rsid w:val="006A1EEE"/>
    <w:rsid w:val="006A3583"/>
    <w:rsid w:val="006A5FC8"/>
    <w:rsid w:val="006A6622"/>
    <w:rsid w:val="006B0F27"/>
    <w:rsid w:val="006B1CFC"/>
    <w:rsid w:val="006B2CC0"/>
    <w:rsid w:val="006B2F98"/>
    <w:rsid w:val="006B6997"/>
    <w:rsid w:val="006C10AA"/>
    <w:rsid w:val="006C7657"/>
    <w:rsid w:val="006C76C7"/>
    <w:rsid w:val="006C79B6"/>
    <w:rsid w:val="006D20E9"/>
    <w:rsid w:val="006D4C89"/>
    <w:rsid w:val="006E4D2F"/>
    <w:rsid w:val="006F0972"/>
    <w:rsid w:val="006F1E2A"/>
    <w:rsid w:val="006F67D0"/>
    <w:rsid w:val="00701313"/>
    <w:rsid w:val="0070242B"/>
    <w:rsid w:val="00702A3E"/>
    <w:rsid w:val="007036A4"/>
    <w:rsid w:val="00703DCF"/>
    <w:rsid w:val="007057D0"/>
    <w:rsid w:val="0071553E"/>
    <w:rsid w:val="007224F7"/>
    <w:rsid w:val="00722DB3"/>
    <w:rsid w:val="00723D0D"/>
    <w:rsid w:val="00730398"/>
    <w:rsid w:val="0073164C"/>
    <w:rsid w:val="00737C38"/>
    <w:rsid w:val="007420CD"/>
    <w:rsid w:val="00742B78"/>
    <w:rsid w:val="00742CA9"/>
    <w:rsid w:val="00742E79"/>
    <w:rsid w:val="00750D97"/>
    <w:rsid w:val="0075116B"/>
    <w:rsid w:val="00753031"/>
    <w:rsid w:val="00760E55"/>
    <w:rsid w:val="0076140F"/>
    <w:rsid w:val="0076324D"/>
    <w:rsid w:val="007648D4"/>
    <w:rsid w:val="007650ED"/>
    <w:rsid w:val="0076735D"/>
    <w:rsid w:val="007678CD"/>
    <w:rsid w:val="0077276B"/>
    <w:rsid w:val="00774299"/>
    <w:rsid w:val="00774760"/>
    <w:rsid w:val="00776235"/>
    <w:rsid w:val="007832E3"/>
    <w:rsid w:val="00791C6A"/>
    <w:rsid w:val="00792B61"/>
    <w:rsid w:val="00795E6E"/>
    <w:rsid w:val="007A0E6F"/>
    <w:rsid w:val="007A4ED4"/>
    <w:rsid w:val="007A643A"/>
    <w:rsid w:val="007A74B0"/>
    <w:rsid w:val="007B2666"/>
    <w:rsid w:val="007B5D8A"/>
    <w:rsid w:val="007B640F"/>
    <w:rsid w:val="007B6802"/>
    <w:rsid w:val="007C049C"/>
    <w:rsid w:val="007C74CE"/>
    <w:rsid w:val="007D0510"/>
    <w:rsid w:val="007D1FE9"/>
    <w:rsid w:val="007D25AC"/>
    <w:rsid w:val="007D54C7"/>
    <w:rsid w:val="007D61F3"/>
    <w:rsid w:val="007E0893"/>
    <w:rsid w:val="007E0BD1"/>
    <w:rsid w:val="007E216D"/>
    <w:rsid w:val="007E22FD"/>
    <w:rsid w:val="007E4AF8"/>
    <w:rsid w:val="007E55BF"/>
    <w:rsid w:val="007E623C"/>
    <w:rsid w:val="007F2E17"/>
    <w:rsid w:val="007F333F"/>
    <w:rsid w:val="007F40B6"/>
    <w:rsid w:val="007F696B"/>
    <w:rsid w:val="007F6EE6"/>
    <w:rsid w:val="00805F3D"/>
    <w:rsid w:val="0080691C"/>
    <w:rsid w:val="00806D98"/>
    <w:rsid w:val="00820A4A"/>
    <w:rsid w:val="00822316"/>
    <w:rsid w:val="00826F1F"/>
    <w:rsid w:val="0082789E"/>
    <w:rsid w:val="00833C71"/>
    <w:rsid w:val="00840860"/>
    <w:rsid w:val="008422C5"/>
    <w:rsid w:val="00842639"/>
    <w:rsid w:val="0084651F"/>
    <w:rsid w:val="008470C8"/>
    <w:rsid w:val="008470E5"/>
    <w:rsid w:val="00850AB9"/>
    <w:rsid w:val="00850CE7"/>
    <w:rsid w:val="00850DCB"/>
    <w:rsid w:val="008510CB"/>
    <w:rsid w:val="008539CF"/>
    <w:rsid w:val="008607BE"/>
    <w:rsid w:val="00863E11"/>
    <w:rsid w:val="00864B09"/>
    <w:rsid w:val="00866807"/>
    <w:rsid w:val="00866D72"/>
    <w:rsid w:val="00877598"/>
    <w:rsid w:val="00880CDE"/>
    <w:rsid w:val="00882054"/>
    <w:rsid w:val="0088379A"/>
    <w:rsid w:val="00885C94"/>
    <w:rsid w:val="00886ACC"/>
    <w:rsid w:val="0089288E"/>
    <w:rsid w:val="0089325C"/>
    <w:rsid w:val="00896CA2"/>
    <w:rsid w:val="00896DCF"/>
    <w:rsid w:val="008A0B36"/>
    <w:rsid w:val="008A3863"/>
    <w:rsid w:val="008A7471"/>
    <w:rsid w:val="008A7E8B"/>
    <w:rsid w:val="008B6FFE"/>
    <w:rsid w:val="008C0C14"/>
    <w:rsid w:val="008C2404"/>
    <w:rsid w:val="008C2648"/>
    <w:rsid w:val="008D2291"/>
    <w:rsid w:val="008D230F"/>
    <w:rsid w:val="008D3756"/>
    <w:rsid w:val="008D52F9"/>
    <w:rsid w:val="008D77FC"/>
    <w:rsid w:val="008E042A"/>
    <w:rsid w:val="008E11A2"/>
    <w:rsid w:val="008E2057"/>
    <w:rsid w:val="008E46B4"/>
    <w:rsid w:val="008F2474"/>
    <w:rsid w:val="008F74F5"/>
    <w:rsid w:val="0090225D"/>
    <w:rsid w:val="00903100"/>
    <w:rsid w:val="00903E7A"/>
    <w:rsid w:val="00904855"/>
    <w:rsid w:val="00905075"/>
    <w:rsid w:val="0092450B"/>
    <w:rsid w:val="00925186"/>
    <w:rsid w:val="00926AD2"/>
    <w:rsid w:val="00941340"/>
    <w:rsid w:val="0094164F"/>
    <w:rsid w:val="00941CD1"/>
    <w:rsid w:val="00945E28"/>
    <w:rsid w:val="00951A4A"/>
    <w:rsid w:val="009570E2"/>
    <w:rsid w:val="00957143"/>
    <w:rsid w:val="00961753"/>
    <w:rsid w:val="00962FB7"/>
    <w:rsid w:val="00964BC6"/>
    <w:rsid w:val="009656BE"/>
    <w:rsid w:val="00965A9B"/>
    <w:rsid w:val="00966DB4"/>
    <w:rsid w:val="0096773F"/>
    <w:rsid w:val="0097402A"/>
    <w:rsid w:val="00974801"/>
    <w:rsid w:val="00976440"/>
    <w:rsid w:val="00977FFD"/>
    <w:rsid w:val="00980FBF"/>
    <w:rsid w:val="00981C4E"/>
    <w:rsid w:val="009856BD"/>
    <w:rsid w:val="00991C73"/>
    <w:rsid w:val="00992162"/>
    <w:rsid w:val="009935B0"/>
    <w:rsid w:val="00994105"/>
    <w:rsid w:val="00994171"/>
    <w:rsid w:val="00996B3F"/>
    <w:rsid w:val="00997B27"/>
    <w:rsid w:val="009A1CF0"/>
    <w:rsid w:val="009A7877"/>
    <w:rsid w:val="009B38D8"/>
    <w:rsid w:val="009B49EE"/>
    <w:rsid w:val="009C08D1"/>
    <w:rsid w:val="009C11AC"/>
    <w:rsid w:val="009C3CC9"/>
    <w:rsid w:val="009C6709"/>
    <w:rsid w:val="009D03C8"/>
    <w:rsid w:val="009D3BF1"/>
    <w:rsid w:val="009D3C85"/>
    <w:rsid w:val="009D5D1D"/>
    <w:rsid w:val="009D6855"/>
    <w:rsid w:val="009E0D7C"/>
    <w:rsid w:val="009E5117"/>
    <w:rsid w:val="009E6083"/>
    <w:rsid w:val="009F25A9"/>
    <w:rsid w:val="009F42D2"/>
    <w:rsid w:val="00A0070E"/>
    <w:rsid w:val="00A00A31"/>
    <w:rsid w:val="00A0531A"/>
    <w:rsid w:val="00A057E7"/>
    <w:rsid w:val="00A06CD3"/>
    <w:rsid w:val="00A0705F"/>
    <w:rsid w:val="00A11B08"/>
    <w:rsid w:val="00A151B7"/>
    <w:rsid w:val="00A177D9"/>
    <w:rsid w:val="00A20CB4"/>
    <w:rsid w:val="00A22894"/>
    <w:rsid w:val="00A2406E"/>
    <w:rsid w:val="00A26141"/>
    <w:rsid w:val="00A26B1E"/>
    <w:rsid w:val="00A274F0"/>
    <w:rsid w:val="00A31DBB"/>
    <w:rsid w:val="00A36737"/>
    <w:rsid w:val="00A40949"/>
    <w:rsid w:val="00A46A91"/>
    <w:rsid w:val="00A46EAF"/>
    <w:rsid w:val="00A54666"/>
    <w:rsid w:val="00A5538B"/>
    <w:rsid w:val="00A5608C"/>
    <w:rsid w:val="00A57BFC"/>
    <w:rsid w:val="00A61116"/>
    <w:rsid w:val="00A62451"/>
    <w:rsid w:val="00A673B9"/>
    <w:rsid w:val="00A81041"/>
    <w:rsid w:val="00A84959"/>
    <w:rsid w:val="00A8495D"/>
    <w:rsid w:val="00A85899"/>
    <w:rsid w:val="00A86C80"/>
    <w:rsid w:val="00A93708"/>
    <w:rsid w:val="00A939A9"/>
    <w:rsid w:val="00A93F8A"/>
    <w:rsid w:val="00A9522C"/>
    <w:rsid w:val="00AA2B1F"/>
    <w:rsid w:val="00AA3C8D"/>
    <w:rsid w:val="00AA5FA9"/>
    <w:rsid w:val="00AB1DF9"/>
    <w:rsid w:val="00AB297D"/>
    <w:rsid w:val="00AB37B3"/>
    <w:rsid w:val="00AB516C"/>
    <w:rsid w:val="00AC0855"/>
    <w:rsid w:val="00AC5AC2"/>
    <w:rsid w:val="00AC5CCF"/>
    <w:rsid w:val="00AD4194"/>
    <w:rsid w:val="00AD45BF"/>
    <w:rsid w:val="00AE1C3D"/>
    <w:rsid w:val="00AE36C5"/>
    <w:rsid w:val="00AF18DA"/>
    <w:rsid w:val="00AF1DE6"/>
    <w:rsid w:val="00AF2934"/>
    <w:rsid w:val="00AF45C2"/>
    <w:rsid w:val="00B01854"/>
    <w:rsid w:val="00B05ACF"/>
    <w:rsid w:val="00B0605F"/>
    <w:rsid w:val="00B0725E"/>
    <w:rsid w:val="00B077C3"/>
    <w:rsid w:val="00B07A9F"/>
    <w:rsid w:val="00B1062E"/>
    <w:rsid w:val="00B10686"/>
    <w:rsid w:val="00B11305"/>
    <w:rsid w:val="00B11721"/>
    <w:rsid w:val="00B14666"/>
    <w:rsid w:val="00B16383"/>
    <w:rsid w:val="00B22546"/>
    <w:rsid w:val="00B22FDC"/>
    <w:rsid w:val="00B2377C"/>
    <w:rsid w:val="00B254EC"/>
    <w:rsid w:val="00B30814"/>
    <w:rsid w:val="00B31A40"/>
    <w:rsid w:val="00B32524"/>
    <w:rsid w:val="00B34FE4"/>
    <w:rsid w:val="00B40B4A"/>
    <w:rsid w:val="00B42A12"/>
    <w:rsid w:val="00B45C07"/>
    <w:rsid w:val="00B45C6F"/>
    <w:rsid w:val="00B52B3F"/>
    <w:rsid w:val="00B547C1"/>
    <w:rsid w:val="00B5642F"/>
    <w:rsid w:val="00B564C1"/>
    <w:rsid w:val="00B6102B"/>
    <w:rsid w:val="00B613DE"/>
    <w:rsid w:val="00B6371A"/>
    <w:rsid w:val="00B66B09"/>
    <w:rsid w:val="00B70E81"/>
    <w:rsid w:val="00B745CF"/>
    <w:rsid w:val="00B85A1C"/>
    <w:rsid w:val="00B86278"/>
    <w:rsid w:val="00B87759"/>
    <w:rsid w:val="00B90695"/>
    <w:rsid w:val="00B93B1D"/>
    <w:rsid w:val="00B957C1"/>
    <w:rsid w:val="00BA150E"/>
    <w:rsid w:val="00BA784F"/>
    <w:rsid w:val="00BB2931"/>
    <w:rsid w:val="00BB65D5"/>
    <w:rsid w:val="00BC069A"/>
    <w:rsid w:val="00BC1939"/>
    <w:rsid w:val="00BC1FA3"/>
    <w:rsid w:val="00BC3367"/>
    <w:rsid w:val="00BC562F"/>
    <w:rsid w:val="00BC7A28"/>
    <w:rsid w:val="00BD2761"/>
    <w:rsid w:val="00BD3F13"/>
    <w:rsid w:val="00BE0E0C"/>
    <w:rsid w:val="00BE18AB"/>
    <w:rsid w:val="00BE281C"/>
    <w:rsid w:val="00BF1962"/>
    <w:rsid w:val="00BF39E7"/>
    <w:rsid w:val="00BF7468"/>
    <w:rsid w:val="00C12842"/>
    <w:rsid w:val="00C16561"/>
    <w:rsid w:val="00C27A1C"/>
    <w:rsid w:val="00C27AF4"/>
    <w:rsid w:val="00C3066E"/>
    <w:rsid w:val="00C33D2E"/>
    <w:rsid w:val="00C34245"/>
    <w:rsid w:val="00C34481"/>
    <w:rsid w:val="00C364AB"/>
    <w:rsid w:val="00C406BF"/>
    <w:rsid w:val="00C41994"/>
    <w:rsid w:val="00C42A63"/>
    <w:rsid w:val="00C43FB2"/>
    <w:rsid w:val="00C447BD"/>
    <w:rsid w:val="00C44866"/>
    <w:rsid w:val="00C453F6"/>
    <w:rsid w:val="00C46B60"/>
    <w:rsid w:val="00C61003"/>
    <w:rsid w:val="00C616FE"/>
    <w:rsid w:val="00C63245"/>
    <w:rsid w:val="00C66322"/>
    <w:rsid w:val="00C663CA"/>
    <w:rsid w:val="00C67576"/>
    <w:rsid w:val="00C70EC3"/>
    <w:rsid w:val="00C758A9"/>
    <w:rsid w:val="00C82F7A"/>
    <w:rsid w:val="00C8576B"/>
    <w:rsid w:val="00C8737B"/>
    <w:rsid w:val="00C91ADC"/>
    <w:rsid w:val="00C92E94"/>
    <w:rsid w:val="00C931B1"/>
    <w:rsid w:val="00C96169"/>
    <w:rsid w:val="00C96764"/>
    <w:rsid w:val="00CA1CBF"/>
    <w:rsid w:val="00CB620E"/>
    <w:rsid w:val="00CB74E9"/>
    <w:rsid w:val="00CC131E"/>
    <w:rsid w:val="00CC1F04"/>
    <w:rsid w:val="00CC79A5"/>
    <w:rsid w:val="00CD0180"/>
    <w:rsid w:val="00CD03E6"/>
    <w:rsid w:val="00CD0AD2"/>
    <w:rsid w:val="00CD0F0B"/>
    <w:rsid w:val="00CD158A"/>
    <w:rsid w:val="00CD1AA2"/>
    <w:rsid w:val="00CD219E"/>
    <w:rsid w:val="00CD4F18"/>
    <w:rsid w:val="00CD5E68"/>
    <w:rsid w:val="00CE06AC"/>
    <w:rsid w:val="00CE20FF"/>
    <w:rsid w:val="00CE7050"/>
    <w:rsid w:val="00CE735F"/>
    <w:rsid w:val="00CE7649"/>
    <w:rsid w:val="00CE7885"/>
    <w:rsid w:val="00CF047F"/>
    <w:rsid w:val="00CF37F0"/>
    <w:rsid w:val="00D007C6"/>
    <w:rsid w:val="00D04D84"/>
    <w:rsid w:val="00D070E6"/>
    <w:rsid w:val="00D139D6"/>
    <w:rsid w:val="00D13D19"/>
    <w:rsid w:val="00D14A4A"/>
    <w:rsid w:val="00D16344"/>
    <w:rsid w:val="00D17C72"/>
    <w:rsid w:val="00D22761"/>
    <w:rsid w:val="00D22B5B"/>
    <w:rsid w:val="00D23E34"/>
    <w:rsid w:val="00D30D27"/>
    <w:rsid w:val="00D331A5"/>
    <w:rsid w:val="00D40CD8"/>
    <w:rsid w:val="00D414EB"/>
    <w:rsid w:val="00D45F34"/>
    <w:rsid w:val="00D50738"/>
    <w:rsid w:val="00D52FF6"/>
    <w:rsid w:val="00D533FE"/>
    <w:rsid w:val="00D5357B"/>
    <w:rsid w:val="00D53CE8"/>
    <w:rsid w:val="00D558D1"/>
    <w:rsid w:val="00D563F4"/>
    <w:rsid w:val="00D606B6"/>
    <w:rsid w:val="00D62148"/>
    <w:rsid w:val="00D63A42"/>
    <w:rsid w:val="00D65BA5"/>
    <w:rsid w:val="00D66297"/>
    <w:rsid w:val="00D70449"/>
    <w:rsid w:val="00D70A23"/>
    <w:rsid w:val="00D71044"/>
    <w:rsid w:val="00D710BE"/>
    <w:rsid w:val="00D71D31"/>
    <w:rsid w:val="00D75210"/>
    <w:rsid w:val="00D759A1"/>
    <w:rsid w:val="00D76B76"/>
    <w:rsid w:val="00D80BB1"/>
    <w:rsid w:val="00D814A4"/>
    <w:rsid w:val="00D81A0A"/>
    <w:rsid w:val="00D84CAA"/>
    <w:rsid w:val="00D84D6C"/>
    <w:rsid w:val="00D86AD4"/>
    <w:rsid w:val="00D876AB"/>
    <w:rsid w:val="00D906E9"/>
    <w:rsid w:val="00D91004"/>
    <w:rsid w:val="00D916DC"/>
    <w:rsid w:val="00D91EE5"/>
    <w:rsid w:val="00D934F3"/>
    <w:rsid w:val="00D94D96"/>
    <w:rsid w:val="00D97F24"/>
    <w:rsid w:val="00DA0A40"/>
    <w:rsid w:val="00DA63A9"/>
    <w:rsid w:val="00DA6491"/>
    <w:rsid w:val="00DB0749"/>
    <w:rsid w:val="00DB0993"/>
    <w:rsid w:val="00DC286B"/>
    <w:rsid w:val="00DC3A21"/>
    <w:rsid w:val="00DC3E8E"/>
    <w:rsid w:val="00DC4A69"/>
    <w:rsid w:val="00DC5DE1"/>
    <w:rsid w:val="00DE0029"/>
    <w:rsid w:val="00DE206D"/>
    <w:rsid w:val="00DE4605"/>
    <w:rsid w:val="00DE58B3"/>
    <w:rsid w:val="00DE78C3"/>
    <w:rsid w:val="00DF1B26"/>
    <w:rsid w:val="00DF2A0D"/>
    <w:rsid w:val="00DF5F13"/>
    <w:rsid w:val="00DF69AE"/>
    <w:rsid w:val="00E02BEF"/>
    <w:rsid w:val="00E02F2A"/>
    <w:rsid w:val="00E11114"/>
    <w:rsid w:val="00E13D8A"/>
    <w:rsid w:val="00E13FD0"/>
    <w:rsid w:val="00E1419A"/>
    <w:rsid w:val="00E20C91"/>
    <w:rsid w:val="00E21004"/>
    <w:rsid w:val="00E2260D"/>
    <w:rsid w:val="00E24229"/>
    <w:rsid w:val="00E26634"/>
    <w:rsid w:val="00E279B5"/>
    <w:rsid w:val="00E31AC0"/>
    <w:rsid w:val="00E32A20"/>
    <w:rsid w:val="00E3417C"/>
    <w:rsid w:val="00E343E3"/>
    <w:rsid w:val="00E402A8"/>
    <w:rsid w:val="00E44C41"/>
    <w:rsid w:val="00E471AF"/>
    <w:rsid w:val="00E50B26"/>
    <w:rsid w:val="00E54810"/>
    <w:rsid w:val="00E54FDA"/>
    <w:rsid w:val="00E56A02"/>
    <w:rsid w:val="00E57586"/>
    <w:rsid w:val="00E63153"/>
    <w:rsid w:val="00E63BC7"/>
    <w:rsid w:val="00E654B5"/>
    <w:rsid w:val="00E74960"/>
    <w:rsid w:val="00E75B23"/>
    <w:rsid w:val="00E75E3A"/>
    <w:rsid w:val="00E7683F"/>
    <w:rsid w:val="00E77E3C"/>
    <w:rsid w:val="00E80A46"/>
    <w:rsid w:val="00E861BB"/>
    <w:rsid w:val="00E91148"/>
    <w:rsid w:val="00E9361F"/>
    <w:rsid w:val="00E943A8"/>
    <w:rsid w:val="00EA056D"/>
    <w:rsid w:val="00EA3CF1"/>
    <w:rsid w:val="00EA4763"/>
    <w:rsid w:val="00EA70F2"/>
    <w:rsid w:val="00EA7F02"/>
    <w:rsid w:val="00EA7F93"/>
    <w:rsid w:val="00EB2A61"/>
    <w:rsid w:val="00EB2CE7"/>
    <w:rsid w:val="00EB7064"/>
    <w:rsid w:val="00EB71F3"/>
    <w:rsid w:val="00EC09AF"/>
    <w:rsid w:val="00EC2A1A"/>
    <w:rsid w:val="00EC7E68"/>
    <w:rsid w:val="00ED16C4"/>
    <w:rsid w:val="00ED48DB"/>
    <w:rsid w:val="00ED681F"/>
    <w:rsid w:val="00EE139C"/>
    <w:rsid w:val="00EE17E6"/>
    <w:rsid w:val="00EE20A8"/>
    <w:rsid w:val="00EE3F1A"/>
    <w:rsid w:val="00EE5C2C"/>
    <w:rsid w:val="00EF553E"/>
    <w:rsid w:val="00F001A6"/>
    <w:rsid w:val="00F0183B"/>
    <w:rsid w:val="00F02807"/>
    <w:rsid w:val="00F02A68"/>
    <w:rsid w:val="00F12EDB"/>
    <w:rsid w:val="00F21A91"/>
    <w:rsid w:val="00F25AF3"/>
    <w:rsid w:val="00F25D43"/>
    <w:rsid w:val="00F26EEE"/>
    <w:rsid w:val="00F3213F"/>
    <w:rsid w:val="00F40F30"/>
    <w:rsid w:val="00F42357"/>
    <w:rsid w:val="00F45E6B"/>
    <w:rsid w:val="00F45FA0"/>
    <w:rsid w:val="00F470F7"/>
    <w:rsid w:val="00F526A4"/>
    <w:rsid w:val="00F536A3"/>
    <w:rsid w:val="00F56FDF"/>
    <w:rsid w:val="00F570FC"/>
    <w:rsid w:val="00F57126"/>
    <w:rsid w:val="00F62785"/>
    <w:rsid w:val="00F654E1"/>
    <w:rsid w:val="00F65CF9"/>
    <w:rsid w:val="00F66BAE"/>
    <w:rsid w:val="00F719F3"/>
    <w:rsid w:val="00F725B0"/>
    <w:rsid w:val="00F758C2"/>
    <w:rsid w:val="00F8325D"/>
    <w:rsid w:val="00F86D11"/>
    <w:rsid w:val="00F90C79"/>
    <w:rsid w:val="00F91B4D"/>
    <w:rsid w:val="00F939DA"/>
    <w:rsid w:val="00F945F3"/>
    <w:rsid w:val="00F94B00"/>
    <w:rsid w:val="00F955E7"/>
    <w:rsid w:val="00F959AE"/>
    <w:rsid w:val="00F961F0"/>
    <w:rsid w:val="00F96D6B"/>
    <w:rsid w:val="00FA119E"/>
    <w:rsid w:val="00FA1F2E"/>
    <w:rsid w:val="00FA2B12"/>
    <w:rsid w:val="00FA68A7"/>
    <w:rsid w:val="00FA7587"/>
    <w:rsid w:val="00FB23BC"/>
    <w:rsid w:val="00FB3C94"/>
    <w:rsid w:val="00FC0917"/>
    <w:rsid w:val="00FC3C62"/>
    <w:rsid w:val="00FC401A"/>
    <w:rsid w:val="00FC4B5A"/>
    <w:rsid w:val="00FC5AE5"/>
    <w:rsid w:val="00FD4550"/>
    <w:rsid w:val="00FE44D7"/>
    <w:rsid w:val="00FE587B"/>
    <w:rsid w:val="00FF276F"/>
    <w:rsid w:val="00FF3289"/>
    <w:rsid w:val="00FF5DDE"/>
    <w:rsid w:val="00FF6215"/>
    <w:rsid w:val="00FF769D"/>
    <w:rsid w:val="01AD2363"/>
    <w:rsid w:val="03EFF082"/>
    <w:rsid w:val="04263DB3"/>
    <w:rsid w:val="0454E1FA"/>
    <w:rsid w:val="04596348"/>
    <w:rsid w:val="04AE52AE"/>
    <w:rsid w:val="050A6452"/>
    <w:rsid w:val="063D7AC4"/>
    <w:rsid w:val="0648B521"/>
    <w:rsid w:val="079639F8"/>
    <w:rsid w:val="07E48582"/>
    <w:rsid w:val="087296AD"/>
    <w:rsid w:val="089D489D"/>
    <w:rsid w:val="08B89831"/>
    <w:rsid w:val="08BA1701"/>
    <w:rsid w:val="096E9975"/>
    <w:rsid w:val="0A0A0007"/>
    <w:rsid w:val="0A5E79A0"/>
    <w:rsid w:val="0B1C2644"/>
    <w:rsid w:val="0B3E7FE5"/>
    <w:rsid w:val="0B70FAB6"/>
    <w:rsid w:val="0C847F2B"/>
    <w:rsid w:val="0CA25C34"/>
    <w:rsid w:val="0D4845F1"/>
    <w:rsid w:val="0E18D5CD"/>
    <w:rsid w:val="0E8BA66B"/>
    <w:rsid w:val="103FF0A1"/>
    <w:rsid w:val="10B2D4D3"/>
    <w:rsid w:val="135553B2"/>
    <w:rsid w:val="13A74278"/>
    <w:rsid w:val="14EBBD16"/>
    <w:rsid w:val="15084E6E"/>
    <w:rsid w:val="182BF2AB"/>
    <w:rsid w:val="18619168"/>
    <w:rsid w:val="1924E82F"/>
    <w:rsid w:val="1A4D7668"/>
    <w:rsid w:val="1A711443"/>
    <w:rsid w:val="1A8C6160"/>
    <w:rsid w:val="1BD59067"/>
    <w:rsid w:val="1C6D551F"/>
    <w:rsid w:val="1CCACD98"/>
    <w:rsid w:val="1D0D8D67"/>
    <w:rsid w:val="1DE0946A"/>
    <w:rsid w:val="1EBE0354"/>
    <w:rsid w:val="1FBE55FE"/>
    <w:rsid w:val="20026E5A"/>
    <w:rsid w:val="201056DB"/>
    <w:rsid w:val="20DD627F"/>
    <w:rsid w:val="2129F0E0"/>
    <w:rsid w:val="214B3475"/>
    <w:rsid w:val="21E503ED"/>
    <w:rsid w:val="24060F61"/>
    <w:rsid w:val="244313DD"/>
    <w:rsid w:val="25EBA64F"/>
    <w:rsid w:val="276E8450"/>
    <w:rsid w:val="27C42D3F"/>
    <w:rsid w:val="29B166E6"/>
    <w:rsid w:val="29FFF1A5"/>
    <w:rsid w:val="2A485F80"/>
    <w:rsid w:val="2C1B386A"/>
    <w:rsid w:val="2C218585"/>
    <w:rsid w:val="2C53A985"/>
    <w:rsid w:val="2CDDF8AB"/>
    <w:rsid w:val="2E3DF2C8"/>
    <w:rsid w:val="2F2731B6"/>
    <w:rsid w:val="2F842212"/>
    <w:rsid w:val="30D39A36"/>
    <w:rsid w:val="330ECD6C"/>
    <w:rsid w:val="330FF620"/>
    <w:rsid w:val="332B4E44"/>
    <w:rsid w:val="35C7C181"/>
    <w:rsid w:val="362FD86A"/>
    <w:rsid w:val="36573387"/>
    <w:rsid w:val="366AB09C"/>
    <w:rsid w:val="368C6634"/>
    <w:rsid w:val="36DEA5BC"/>
    <w:rsid w:val="376DA89B"/>
    <w:rsid w:val="39283004"/>
    <w:rsid w:val="39D31BBC"/>
    <w:rsid w:val="3A341E3A"/>
    <w:rsid w:val="3A7068AF"/>
    <w:rsid w:val="3A72898E"/>
    <w:rsid w:val="3AA5495D"/>
    <w:rsid w:val="3ACDD23F"/>
    <w:rsid w:val="3AFF7F01"/>
    <w:rsid w:val="3B13854D"/>
    <w:rsid w:val="3BCFEE9B"/>
    <w:rsid w:val="3BD4A979"/>
    <w:rsid w:val="3BF99237"/>
    <w:rsid w:val="3C54576B"/>
    <w:rsid w:val="3C5FD0C6"/>
    <w:rsid w:val="3C95EDC9"/>
    <w:rsid w:val="3D9D98B7"/>
    <w:rsid w:val="3E0E0AEE"/>
    <w:rsid w:val="3E5154E0"/>
    <w:rsid w:val="3F95CFCF"/>
    <w:rsid w:val="4032F684"/>
    <w:rsid w:val="42C8623B"/>
    <w:rsid w:val="43830852"/>
    <w:rsid w:val="43AF4983"/>
    <w:rsid w:val="486AB3B3"/>
    <w:rsid w:val="486E00EB"/>
    <w:rsid w:val="48A64152"/>
    <w:rsid w:val="49A34F75"/>
    <w:rsid w:val="4A1F7DD4"/>
    <w:rsid w:val="4AA87F61"/>
    <w:rsid w:val="4AF34999"/>
    <w:rsid w:val="4B9607BD"/>
    <w:rsid w:val="4CC9FB47"/>
    <w:rsid w:val="4CDB0102"/>
    <w:rsid w:val="4D3A3B1D"/>
    <w:rsid w:val="4E36A387"/>
    <w:rsid w:val="4F0587E4"/>
    <w:rsid w:val="4F31D9A7"/>
    <w:rsid w:val="4F8DB241"/>
    <w:rsid w:val="50882FE8"/>
    <w:rsid w:val="509A09F7"/>
    <w:rsid w:val="52AA09D8"/>
    <w:rsid w:val="52AEA7EA"/>
    <w:rsid w:val="5337F217"/>
    <w:rsid w:val="536096FA"/>
    <w:rsid w:val="5523C1A6"/>
    <w:rsid w:val="552B02DB"/>
    <w:rsid w:val="553CEA03"/>
    <w:rsid w:val="58227281"/>
    <w:rsid w:val="5848D2F8"/>
    <w:rsid w:val="586D0B08"/>
    <w:rsid w:val="5873CCAF"/>
    <w:rsid w:val="5915102A"/>
    <w:rsid w:val="5B207A96"/>
    <w:rsid w:val="5CB88891"/>
    <w:rsid w:val="5CDAA625"/>
    <w:rsid w:val="5D806AD5"/>
    <w:rsid w:val="5E1C418E"/>
    <w:rsid w:val="5E8E1349"/>
    <w:rsid w:val="5F0A70D7"/>
    <w:rsid w:val="5FDC0E7C"/>
    <w:rsid w:val="6060B3F1"/>
    <w:rsid w:val="60AFC15A"/>
    <w:rsid w:val="6130A845"/>
    <w:rsid w:val="61CECD34"/>
    <w:rsid w:val="62421199"/>
    <w:rsid w:val="62B1AAB6"/>
    <w:rsid w:val="62E8D344"/>
    <w:rsid w:val="647F4892"/>
    <w:rsid w:val="64AB005F"/>
    <w:rsid w:val="656EF165"/>
    <w:rsid w:val="65B28695"/>
    <w:rsid w:val="669BA56A"/>
    <w:rsid w:val="669E7F39"/>
    <w:rsid w:val="676C62BF"/>
    <w:rsid w:val="67E82FCC"/>
    <w:rsid w:val="689C60EA"/>
    <w:rsid w:val="698D8543"/>
    <w:rsid w:val="698EC207"/>
    <w:rsid w:val="6A3F19C0"/>
    <w:rsid w:val="6A48BF0F"/>
    <w:rsid w:val="6B57C5F1"/>
    <w:rsid w:val="6B75AF7A"/>
    <w:rsid w:val="6C80E37B"/>
    <w:rsid w:val="6C8B02BF"/>
    <w:rsid w:val="6D84C440"/>
    <w:rsid w:val="6DDAF606"/>
    <w:rsid w:val="6E0D027B"/>
    <w:rsid w:val="6E7DA398"/>
    <w:rsid w:val="6F4D4441"/>
    <w:rsid w:val="6F669E10"/>
    <w:rsid w:val="705242EC"/>
    <w:rsid w:val="70729E75"/>
    <w:rsid w:val="70794B40"/>
    <w:rsid w:val="712B9F66"/>
    <w:rsid w:val="71772ED1"/>
    <w:rsid w:val="71D0D0BD"/>
    <w:rsid w:val="722C0B84"/>
    <w:rsid w:val="72583563"/>
    <w:rsid w:val="72CCA8CC"/>
    <w:rsid w:val="74C6B2D4"/>
    <w:rsid w:val="75CC2B37"/>
    <w:rsid w:val="75CCDA9A"/>
    <w:rsid w:val="76AC19D8"/>
    <w:rsid w:val="76D1A5AF"/>
    <w:rsid w:val="77423EC5"/>
    <w:rsid w:val="776454DF"/>
    <w:rsid w:val="7790BA8D"/>
    <w:rsid w:val="7854855C"/>
    <w:rsid w:val="79A2117D"/>
    <w:rsid w:val="79F055BD"/>
    <w:rsid w:val="79F76966"/>
    <w:rsid w:val="7B35F458"/>
    <w:rsid w:val="7E2044B5"/>
    <w:rsid w:val="7E5F2E97"/>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2BBFB"/>
  <w14:defaultImageDpi w14:val="32767"/>
  <w15:chartTrackingRefBased/>
  <w15:docId w15:val="{F956D2C0-DF2A-4D1F-86B4-CEE67CAC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7471"/>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882054"/>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882054"/>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882054"/>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C0558"/>
    <w:pPr>
      <w:numPr>
        <w:numId w:val="10"/>
      </w:numPr>
      <w:tabs>
        <w:tab w:val="clear" w:pos="1492"/>
        <w:tab w:val="left" w:pos="1304"/>
      </w:tabs>
      <w:ind w:left="1276" w:hanging="142"/>
    </w:pPr>
    <w:rPr>
      <w:bCs/>
    </w:r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C0558"/>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3C0558"/>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NormalWeb">
    <w:name w:val="Normal (Web)"/>
    <w:basedOn w:val="Normal"/>
    <w:uiPriority w:val="99"/>
    <w:unhideWhenUsed/>
    <w:rsid w:val="008A7471"/>
    <w:pPr>
      <w:spacing w:before="100" w:beforeAutospacing="1" w:after="100" w:afterAutospacing="1" w:line="240" w:lineRule="auto"/>
    </w:pPr>
    <w:rPr>
      <w:rFonts w:ascii="Times New Roman" w:hAnsi="Times New Roman"/>
      <w:sz w:val="24"/>
      <w:lang w:eastAsia="en-AU"/>
    </w:rPr>
  </w:style>
  <w:style w:type="table" w:styleId="PlainTable2">
    <w:name w:val="Plain Table 2"/>
    <w:basedOn w:val="TableNormal"/>
    <w:uiPriority w:val="42"/>
    <w:rsid w:val="007D54C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character" w:customStyle="1" w:styleId="normaltextrun">
    <w:name w:val="normaltextrun"/>
    <w:basedOn w:val="DefaultParagraphFont"/>
    <w:rsid w:val="000B2451"/>
  </w:style>
  <w:style w:type="character" w:customStyle="1" w:styleId="findhit">
    <w:name w:val="findhit"/>
    <w:basedOn w:val="DefaultParagraphFont"/>
    <w:rsid w:val="007F6EE6"/>
  </w:style>
  <w:style w:type="paragraph" w:customStyle="1" w:styleId="Tableheader">
    <w:name w:val="Table header"/>
    <w:basedOn w:val="Normal"/>
    <w:uiPriority w:val="1"/>
    <w:qFormat/>
    <w:rsid w:val="79F055BD"/>
    <w:pPr>
      <w:keepNext/>
      <w:spacing w:before="240"/>
      <w:outlineLvl w:val="3"/>
    </w:pPr>
    <w:rPr>
      <w:rFonts w:cs="Arial"/>
      <w:b/>
      <w:bCs/>
      <w:sz w:val="24"/>
      <w:lang w:eastAsia="en-AU"/>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val="en-AU"/>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390234"/>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150B98"/>
    <w:rPr>
      <w:b/>
      <w:bCs/>
    </w:rPr>
  </w:style>
  <w:style w:type="character" w:customStyle="1" w:styleId="CommentSubjectChar">
    <w:name w:val="Comment Subject Char"/>
    <w:basedOn w:val="CommentTextChar"/>
    <w:link w:val="CommentSubject"/>
    <w:uiPriority w:val="99"/>
    <w:semiHidden/>
    <w:rsid w:val="00150B98"/>
    <w:rPr>
      <w:rFonts w:ascii="Arial" w:eastAsia="Times New Roman" w:hAnsi="Arial" w:cs="Times New Roman"/>
      <w:b/>
      <w:bCs/>
      <w:sz w:val="20"/>
      <w:szCs w:val="20"/>
      <w:lang w:val="en-AU"/>
    </w:rPr>
  </w:style>
  <w:style w:type="character" w:styleId="Mention">
    <w:name w:val="Mention"/>
    <w:basedOn w:val="DefaultParagraphFont"/>
    <w:uiPriority w:val="99"/>
    <w:unhideWhenUsed/>
    <w:rsid w:val="00240263"/>
    <w:rPr>
      <w:color w:val="2B579A"/>
      <w:shd w:val="clear" w:color="auto" w:fill="E1DFDD"/>
    </w:rPr>
  </w:style>
  <w:style w:type="character" w:styleId="FollowedHyperlink">
    <w:name w:val="FollowedHyperlink"/>
    <w:basedOn w:val="DefaultParagraphFont"/>
    <w:uiPriority w:val="99"/>
    <w:semiHidden/>
    <w:unhideWhenUsed/>
    <w:rsid w:val="002325A4"/>
    <w:rPr>
      <w:color w:val="954F72" w:themeColor="followedHyperlink"/>
      <w:u w:val="single"/>
    </w:rPr>
  </w:style>
  <w:style w:type="character" w:styleId="Emphasis">
    <w:name w:val="Emphasis"/>
    <w:basedOn w:val="DefaultParagraphFont"/>
    <w:uiPriority w:val="20"/>
    <w:qFormat/>
    <w:rsid w:val="00EB71F3"/>
    <w:rPr>
      <w:i/>
      <w:iCs/>
    </w:rPr>
  </w:style>
  <w:style w:type="character" w:customStyle="1" w:styleId="rpl-text-label">
    <w:name w:val="rpl-text-label"/>
    <w:basedOn w:val="DefaultParagraphFont"/>
    <w:rsid w:val="00EB71F3"/>
  </w:style>
  <w:style w:type="paragraph" w:styleId="EndnoteText">
    <w:name w:val="endnote text"/>
    <w:basedOn w:val="Normal"/>
    <w:link w:val="EndnoteTextChar"/>
    <w:uiPriority w:val="99"/>
    <w:semiHidden/>
    <w:unhideWhenUsed/>
    <w:rsid w:val="00FC09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0917"/>
    <w:rPr>
      <w:rFonts w:ascii="Arial" w:eastAsia="Times New Roman" w:hAnsi="Arial" w:cs="Times New Roman"/>
      <w:sz w:val="20"/>
      <w:szCs w:val="20"/>
      <w:lang w:val="en-AU"/>
    </w:rPr>
  </w:style>
  <w:style w:type="character" w:styleId="EndnoteReference">
    <w:name w:val="endnote reference"/>
    <w:basedOn w:val="DefaultParagraphFont"/>
    <w:uiPriority w:val="99"/>
    <w:semiHidden/>
    <w:unhideWhenUsed/>
    <w:rsid w:val="00FC09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917279">
      <w:bodyDiv w:val="1"/>
      <w:marLeft w:val="0"/>
      <w:marRight w:val="0"/>
      <w:marTop w:val="0"/>
      <w:marBottom w:val="0"/>
      <w:divBdr>
        <w:top w:val="none" w:sz="0" w:space="0" w:color="auto"/>
        <w:left w:val="none" w:sz="0" w:space="0" w:color="auto"/>
        <w:bottom w:val="none" w:sz="0" w:space="0" w:color="auto"/>
        <w:right w:val="none" w:sz="0" w:space="0" w:color="auto"/>
      </w:divBdr>
    </w:div>
    <w:div w:id="333387510">
      <w:bodyDiv w:val="1"/>
      <w:marLeft w:val="0"/>
      <w:marRight w:val="0"/>
      <w:marTop w:val="0"/>
      <w:marBottom w:val="0"/>
      <w:divBdr>
        <w:top w:val="none" w:sz="0" w:space="0" w:color="auto"/>
        <w:left w:val="none" w:sz="0" w:space="0" w:color="auto"/>
        <w:bottom w:val="none" w:sz="0" w:space="0" w:color="auto"/>
        <w:right w:val="none" w:sz="0" w:space="0" w:color="auto"/>
      </w:divBdr>
    </w:div>
    <w:div w:id="459150005">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57210049">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646160578">
      <w:bodyDiv w:val="1"/>
      <w:marLeft w:val="0"/>
      <w:marRight w:val="0"/>
      <w:marTop w:val="0"/>
      <w:marBottom w:val="0"/>
      <w:divBdr>
        <w:top w:val="none" w:sz="0" w:space="0" w:color="auto"/>
        <w:left w:val="none" w:sz="0" w:space="0" w:color="auto"/>
        <w:bottom w:val="none" w:sz="0" w:space="0" w:color="auto"/>
        <w:right w:val="none" w:sz="0" w:space="0" w:color="auto"/>
      </w:divBdr>
    </w:div>
    <w:div w:id="1682471848">
      <w:bodyDiv w:val="1"/>
      <w:marLeft w:val="0"/>
      <w:marRight w:val="0"/>
      <w:marTop w:val="0"/>
      <w:marBottom w:val="0"/>
      <w:divBdr>
        <w:top w:val="none" w:sz="0" w:space="0" w:color="auto"/>
        <w:left w:val="none" w:sz="0" w:space="0" w:color="auto"/>
        <w:bottom w:val="none" w:sz="0" w:space="0" w:color="auto"/>
        <w:right w:val="none" w:sz="0" w:space="0" w:color="auto"/>
      </w:divBdr>
    </w:div>
    <w:div w:id="1954050719">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isters.ag.gov.au/media-centre/independent-review-national-legal-assistance-partnership-06-03-202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alaid.vic.gov.au/were-launching-pilot-equity-and-diversity-list-support-equitable-brief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victims-legal-serv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VLA%20generic%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DCA3890BDA74AB9502E9A8C3CD618" ma:contentTypeVersion="17" ma:contentTypeDescription="Create a new document." ma:contentTypeScope="" ma:versionID="269e6314ecc9b50b6c168664f7a77916">
  <xsd:schema xmlns:xsd="http://www.w3.org/2001/XMLSchema" xmlns:xs="http://www.w3.org/2001/XMLSchema" xmlns:p="http://schemas.microsoft.com/office/2006/metadata/properties" xmlns:ns2="91f2debb-b46c-4cde-989b-9c0c784727a3" xmlns:ns3="8d2477ca-a0ab-47e1-bc51-aa97a6eddb3c" targetNamespace="http://schemas.microsoft.com/office/2006/metadata/properties" ma:root="true" ma:fieldsID="a83b557133aea7eb51809e76a9944d15" ns2:_="" ns3:_="">
    <xsd:import namespace="91f2debb-b46c-4cde-989b-9c0c784727a3"/>
    <xsd:import namespace="8d2477ca-a0ab-47e1-bc51-aa97a6eddb3c"/>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2debb-b46c-4cde-989b-9c0c78472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477ca-a0ab-47e1-bc51-aa97a6eddb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878352-f4df-4534-bfc3-aafd2d15b1af}" ma:internalName="TaxCatchAll" ma:showField="CatchAllData" ma:web="8d2477ca-a0ab-47e1-bc51-aa97a6eddb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d2477ca-a0ab-47e1-bc51-aa97a6eddb3c" xsi:nil="true"/>
    <lcf76f155ced4ddcb4097134ff3c332f xmlns="91f2debb-b46c-4cde-989b-9c0c784727a3">
      <Terms xmlns="http://schemas.microsoft.com/office/infopath/2007/PartnerControls"/>
    </lcf76f155ced4ddcb4097134ff3c332f>
    <SharedWithUsers xmlns="8d2477ca-a0ab-47e1-bc51-aa97a6eddb3c">
      <UserInfo>
        <DisplayName>Gayathri Paramasivam</DisplayName>
        <AccountId>23</AccountId>
        <AccountType/>
      </UserInfo>
      <UserInfo>
        <DisplayName>Emma Hunt</DisplayName>
        <AccountId>45</AccountId>
        <AccountType/>
      </UserInfo>
      <UserInfo>
        <DisplayName>SharingLinks.a1be6307-1f2b-45e9-8272-4d9b45a3e6f7.Flexible.c9df7a21-cc0d-48c3-b5bf-39452bd07912</DisplayName>
        <AccountId>472</AccountId>
        <AccountType/>
      </UserInfo>
      <UserInfo>
        <DisplayName>Sarah Nieuwenhuysen</DisplayName>
        <AccountId>14</AccountId>
        <AccountType/>
      </UserInfo>
      <UserInfo>
        <DisplayName>SharingLinks.a9befbd5-8bbb-4ee2-b45f-70481a83538a.Flexible.80f09981-c93c-4f9f-a8fa-b77ce9786b4b</DisplayName>
        <AccountId>148</AccountId>
        <AccountType/>
      </UserInfo>
      <UserInfo>
        <DisplayName>Jenny Tam</DisplayName>
        <AccountId>343</AccountId>
        <AccountType/>
      </UserInfo>
      <UserInfo>
        <DisplayName>Office of the CEO Members</DisplayName>
        <AccountId>7</AccountId>
        <AccountType/>
      </UserInfo>
      <UserInfo>
        <DisplayName>Georgie Dwyer</DisplayName>
        <AccountId>21</AccountId>
        <AccountType/>
      </UserInfo>
      <UserInfo>
        <DisplayName>SharingLinks.36d3f424-5d87-4486-9839-afec24e5db55.Flexible.4a3297de-43ff-4fbf-97dd-39db48a327d5</DisplayName>
        <AccountId>130</AccountId>
        <AccountType/>
      </UserInfo>
      <UserInfo>
        <DisplayName>SharingLinks.e3738237-abde-4d56-a82f-a53e5d373688.Flexible.375fd841-061a-412c-8109-9637384c16e7</DisplayName>
        <AccountId>157</AccountId>
        <AccountType/>
      </UserInfo>
      <UserInfo>
        <DisplayName>Mahnoor Sikandar</DisplayName>
        <AccountId>317</AccountId>
        <AccountType/>
      </UserInfo>
      <UserInfo>
        <DisplayName>Daisy Smith</DisplayName>
        <AccountId>177</AccountId>
        <AccountType/>
      </UserInfo>
      <UserInfo>
        <DisplayName>SharingLinks.8108e108-d717-4ae5-bc87-8423f95641d7.Flexible.1b525bf5-079b-45e7-8ca2-793e83bdea1f</DisplayName>
        <AccountId>175</AccountId>
        <AccountType/>
      </UserInfo>
      <UserInfo>
        <DisplayName>SharingLinks.3861b5c2-1968-444d-9042-afe83d871b5a.Flexible.2c35ee99-92ed-432d-82c8-5b127c1c1df0</DisplayName>
        <AccountId>117</AccountId>
        <AccountType/>
      </UserInfo>
      <UserInfo>
        <DisplayName>Alex EdneyBrowne</DisplayName>
        <AccountId>320</AccountId>
        <AccountType/>
      </UserInfo>
      <UserInfo>
        <DisplayName>Louise Glanville</DisplayName>
        <AccountId>13</AccountId>
        <AccountType/>
      </UserInfo>
      <UserInfo>
        <DisplayName>Martha Arkalis</DisplayName>
        <AccountId>11</AccountId>
        <AccountType/>
      </UserInfo>
      <UserInfo>
        <DisplayName>Sonia Li</DisplayName>
        <AccountId>478</AccountId>
        <AccountType/>
      </UserInfo>
      <UserInfo>
        <DisplayName>Simon Ho</DisplayName>
        <AccountId>79</AccountId>
        <AccountType/>
      </UserInfo>
      <UserInfo>
        <DisplayName>Cameron Hume</DisplayName>
        <AccountId>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79C68-068F-4FB0-AFCF-5B50C770A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2debb-b46c-4cde-989b-9c0c784727a3"/>
    <ds:schemaRef ds:uri="8d2477ca-a0ab-47e1-bc51-aa97a6edd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3FA9B-A9B1-4E28-9836-ACF5CA0DCAA5}">
  <ds:schemaRefs>
    <ds:schemaRef ds:uri="http://schemas.openxmlformats.org/officeDocument/2006/bibliography"/>
  </ds:schemaRefs>
</ds:datastoreItem>
</file>

<file path=customXml/itemProps3.xml><?xml version="1.0" encoding="utf-8"?>
<ds:datastoreItem xmlns:ds="http://schemas.openxmlformats.org/officeDocument/2006/customXml" ds:itemID="{96D329AF-D008-4FD5-8701-63DC375D9D26}">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8d2477ca-a0ab-47e1-bc51-aa97a6eddb3c"/>
    <ds:schemaRef ds:uri="91f2debb-b46c-4cde-989b-9c0c784727a3"/>
    <ds:schemaRef ds:uri="http://www.w3.org/XML/1998/namespace"/>
    <ds:schemaRef ds:uri="http://purl.org/dc/dcmitype/"/>
  </ds:schemaRefs>
</ds:datastoreItem>
</file>

<file path=customXml/itemProps4.xml><?xml version="1.0" encoding="utf-8"?>
<ds:datastoreItem xmlns:ds="http://schemas.openxmlformats.org/officeDocument/2006/customXml" ds:itemID="{73ED59C6-F897-4B36-AF31-D3D7D2CA7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VLA%20generic%20(Factsheet)</Template>
  <TotalTime>98</TotalTime>
  <Pages>5</Pages>
  <Words>1812</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Victoria Legal Aid 2023–24 quarter three report</vt:lpstr>
    </vt:vector>
  </TitlesOfParts>
  <Company>Victoria Legal Aid</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2023–24 quarter three report</dc:title>
  <dc:subject/>
  <dc:creator>Victoria Legal Aid</dc:creator>
  <cp:keywords/>
  <dc:description/>
  <cp:lastModifiedBy>Rhys Owen</cp:lastModifiedBy>
  <cp:revision>2</cp:revision>
  <cp:lastPrinted>2023-01-05T13:40:00Z</cp:lastPrinted>
  <dcterms:created xsi:type="dcterms:W3CDTF">2024-05-13T02:16:00Z</dcterms:created>
  <dcterms:modified xsi:type="dcterms:W3CDTF">2024-08-29T01:07:00Z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MSIP_Label_9150236c-7dbd-4fa5-957d-8e3e9c46dc34_Enabled">
    <vt:lpwstr>true</vt:lpwstr>
  </property>
  <property fmtid="{D5CDD505-2E9C-101B-9397-08002B2CF9AE}" pid="6" name="MSIP_Label_9150236c-7dbd-4fa5-957d-8e3e9c46dc34_SetDate">
    <vt:lpwstr>2022-11-29T02:45:05Z</vt:lpwstr>
  </property>
  <property fmtid="{D5CDD505-2E9C-101B-9397-08002B2CF9AE}" pid="7" name="MSIP_Label_9150236c-7dbd-4fa5-957d-8e3e9c46dc34_Method">
    <vt:lpwstr>Privileged</vt:lpwstr>
  </property>
  <property fmtid="{D5CDD505-2E9C-101B-9397-08002B2CF9AE}" pid="8" name="MSIP_Label_9150236c-7dbd-4fa5-957d-8e3e9c46dc34_Name">
    <vt:lpwstr>Official</vt:lpwstr>
  </property>
  <property fmtid="{D5CDD505-2E9C-101B-9397-08002B2CF9AE}" pid="9" name="MSIP_Label_9150236c-7dbd-4fa5-957d-8e3e9c46dc34_SiteId">
    <vt:lpwstr>f6bec780-cd13-49ce-84c7-5d7d94821879</vt:lpwstr>
  </property>
  <property fmtid="{D5CDD505-2E9C-101B-9397-08002B2CF9AE}" pid="10" name="MSIP_Label_9150236c-7dbd-4fa5-957d-8e3e9c46dc34_ActionId">
    <vt:lpwstr>6cc61411-1157-435f-b5c4-55a7936e2cbd</vt:lpwstr>
  </property>
  <property fmtid="{D5CDD505-2E9C-101B-9397-08002B2CF9AE}" pid="11" name="MSIP_Label_9150236c-7dbd-4fa5-957d-8e3e9c46dc34_ContentBits">
    <vt:lpwstr>1</vt:lpwstr>
  </property>
  <property fmtid="{D5CDD505-2E9C-101B-9397-08002B2CF9AE}" pid="12" name="ContentTypeId">
    <vt:lpwstr>0x010100B9BDCA3890BDA74AB9502E9A8C3CD618</vt:lpwstr>
  </property>
  <property fmtid="{D5CDD505-2E9C-101B-9397-08002B2CF9AE}" pid="13" name="MediaServiceImageTags">
    <vt:lpwstr/>
  </property>
  <property fmtid="{D5CDD505-2E9C-101B-9397-08002B2CF9AE}" pid="14" name="GrammarlyDocumentId">
    <vt:lpwstr>23f53702b0380d61319b2d8d5f6e8a2ed8b494ee855c378d7d8e3b82c6cd3834</vt:lpwstr>
  </property>
</Properties>
</file>