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FF6FE" w14:textId="0D4DE8D9" w:rsidR="00365B47" w:rsidRDefault="008A7471" w:rsidP="00AA3425">
      <w:pPr>
        <w:pStyle w:val="Heading1"/>
        <w:rPr>
          <w:sz w:val="24"/>
          <w:szCs w:val="24"/>
        </w:rPr>
      </w:pPr>
      <w:r>
        <w:t>Victoria Legal Aid 202</w:t>
      </w:r>
      <w:r w:rsidR="000E57EE">
        <w:t>4</w:t>
      </w:r>
      <w:r>
        <w:t>–2</w:t>
      </w:r>
      <w:r w:rsidR="000E57EE">
        <w:t>5</w:t>
      </w:r>
      <w:r>
        <w:t xml:space="preserve"> </w:t>
      </w:r>
      <w:r w:rsidR="00B06DB4">
        <w:t xml:space="preserve">quarter one report </w:t>
      </w:r>
    </w:p>
    <w:p w14:paraId="7227A536" w14:textId="2F88A1B2" w:rsidR="00AA3425" w:rsidRDefault="000E57EE" w:rsidP="00705A69">
      <w:pPr>
        <w:pStyle w:val="Heading1"/>
        <w:spacing w:after="360"/>
        <w:rPr>
          <w:sz w:val="24"/>
          <w:szCs w:val="24"/>
        </w:rPr>
      </w:pPr>
      <w:r w:rsidRPr="57B55C36">
        <w:rPr>
          <w:sz w:val="24"/>
          <w:szCs w:val="24"/>
        </w:rPr>
        <w:t>July</w:t>
      </w:r>
      <w:r w:rsidR="00A46A91" w:rsidRPr="57B55C36">
        <w:rPr>
          <w:sz w:val="24"/>
          <w:szCs w:val="24"/>
        </w:rPr>
        <w:t xml:space="preserve"> </w:t>
      </w:r>
      <w:r w:rsidR="008A7471" w:rsidRPr="57B55C36">
        <w:rPr>
          <w:sz w:val="24"/>
          <w:szCs w:val="24"/>
        </w:rPr>
        <w:t xml:space="preserve">– </w:t>
      </w:r>
      <w:r w:rsidRPr="57B55C36">
        <w:rPr>
          <w:sz w:val="24"/>
          <w:szCs w:val="24"/>
        </w:rPr>
        <w:t xml:space="preserve">September </w:t>
      </w:r>
      <w:r w:rsidR="008A7471" w:rsidRPr="57B55C36">
        <w:rPr>
          <w:sz w:val="24"/>
          <w:szCs w:val="24"/>
        </w:rPr>
        <w:t>202</w:t>
      </w:r>
      <w:r w:rsidR="00AA3425" w:rsidRPr="57B55C36">
        <w:rPr>
          <w:sz w:val="24"/>
          <w:szCs w:val="24"/>
        </w:rPr>
        <w:t>4</w:t>
      </w:r>
    </w:p>
    <w:p w14:paraId="31F35BC2" w14:textId="31A8AB8A" w:rsidR="00B16383" w:rsidRPr="00B16383" w:rsidRDefault="343DF654" w:rsidP="006663C9">
      <w:pPr>
        <w:pStyle w:val="Heading2"/>
      </w:pPr>
      <w:r>
        <w:t xml:space="preserve">Message from the </w:t>
      </w:r>
      <w:r w:rsidR="00B06DB4">
        <w:t xml:space="preserve">acting </w:t>
      </w:r>
      <w:r>
        <w:t>CEO</w:t>
      </w:r>
    </w:p>
    <w:p w14:paraId="11952CF3" w14:textId="77777777" w:rsidR="005437F9" w:rsidRDefault="5BC6EF16" w:rsidP="007079F0">
      <w:pPr>
        <w:rPr>
          <w:rFonts w:eastAsia="Arial" w:cs="Arial"/>
        </w:rPr>
      </w:pPr>
      <w:r w:rsidRPr="6A4D9E19">
        <w:rPr>
          <w:rFonts w:eastAsia="Arial" w:cs="Arial"/>
        </w:rPr>
        <w:t>In</w:t>
      </w:r>
      <w:r w:rsidR="7E9EAEF6" w:rsidRPr="6A4D9E19">
        <w:rPr>
          <w:rFonts w:eastAsia="Arial" w:cs="Arial"/>
        </w:rPr>
        <w:t xml:space="preserve"> </w:t>
      </w:r>
      <w:r w:rsidR="501014EF" w:rsidRPr="6A4D9E19">
        <w:rPr>
          <w:rFonts w:eastAsia="Arial" w:cs="Arial"/>
        </w:rPr>
        <w:t>q</w:t>
      </w:r>
      <w:r w:rsidR="7E9EAEF6" w:rsidRPr="6A4D9E19">
        <w:rPr>
          <w:rFonts w:eastAsia="Arial" w:cs="Arial"/>
        </w:rPr>
        <w:t>uarter</w:t>
      </w:r>
      <w:r w:rsidR="4E5504BF" w:rsidRPr="6A4D9E19">
        <w:rPr>
          <w:rFonts w:eastAsia="Arial" w:cs="Arial"/>
        </w:rPr>
        <w:t xml:space="preserve"> </w:t>
      </w:r>
      <w:r w:rsidR="5D95B4D8" w:rsidRPr="6A4D9E19">
        <w:rPr>
          <w:rFonts w:eastAsia="Arial" w:cs="Arial"/>
        </w:rPr>
        <w:t>o</w:t>
      </w:r>
      <w:r w:rsidR="4E5504BF" w:rsidRPr="6A4D9E19">
        <w:rPr>
          <w:rFonts w:eastAsia="Arial" w:cs="Arial"/>
        </w:rPr>
        <w:t>ne 2024-25</w:t>
      </w:r>
      <w:r w:rsidR="7E9EAEF6" w:rsidRPr="6A4D9E19">
        <w:rPr>
          <w:rFonts w:eastAsia="Arial" w:cs="Arial"/>
        </w:rPr>
        <w:t xml:space="preserve">, </w:t>
      </w:r>
      <w:r w:rsidR="33C5538F" w:rsidRPr="6A4D9E19">
        <w:rPr>
          <w:rFonts w:eastAsia="Arial" w:cs="Arial"/>
        </w:rPr>
        <w:t xml:space="preserve">we continued to see </w:t>
      </w:r>
      <w:r w:rsidR="66771D39" w:rsidRPr="6A4D9E19">
        <w:rPr>
          <w:rFonts w:eastAsia="Arial" w:cs="Arial"/>
        </w:rPr>
        <w:t xml:space="preserve">external system demand drivers </w:t>
      </w:r>
      <w:r w:rsidR="22C65E52" w:rsidRPr="6A4D9E19">
        <w:rPr>
          <w:rFonts w:eastAsia="Arial" w:cs="Arial"/>
        </w:rPr>
        <w:t>impact demand</w:t>
      </w:r>
      <w:r w:rsidR="1ACF0326" w:rsidRPr="6A4D9E19">
        <w:rPr>
          <w:rFonts w:eastAsia="Arial" w:cs="Arial"/>
        </w:rPr>
        <w:t xml:space="preserve"> </w:t>
      </w:r>
      <w:r w:rsidR="447AC09C" w:rsidRPr="6A4D9E19">
        <w:rPr>
          <w:rFonts w:eastAsia="Arial" w:cs="Arial"/>
        </w:rPr>
        <w:t>level</w:t>
      </w:r>
      <w:r w:rsidR="6C83A2AF" w:rsidRPr="6A4D9E19">
        <w:rPr>
          <w:rFonts w:eastAsia="Arial" w:cs="Arial"/>
        </w:rPr>
        <w:t>s</w:t>
      </w:r>
      <w:r w:rsidR="514861D8" w:rsidRPr="6A4D9E19">
        <w:rPr>
          <w:rFonts w:eastAsia="Arial" w:cs="Arial"/>
        </w:rPr>
        <w:t xml:space="preserve"> for</w:t>
      </w:r>
      <w:r w:rsidR="5213D30E" w:rsidRPr="6A4D9E19">
        <w:rPr>
          <w:rFonts w:eastAsia="Arial" w:cs="Arial"/>
        </w:rPr>
        <w:t xml:space="preserve"> </w:t>
      </w:r>
      <w:r w:rsidR="514861D8" w:rsidRPr="6A4D9E19">
        <w:rPr>
          <w:rFonts w:eastAsia="Arial" w:cs="Arial"/>
        </w:rPr>
        <w:t>our legal</w:t>
      </w:r>
      <w:r w:rsidR="3C3F657B" w:rsidRPr="6A4D9E19">
        <w:rPr>
          <w:rFonts w:eastAsia="Arial" w:cs="Arial"/>
        </w:rPr>
        <w:t xml:space="preserve"> </w:t>
      </w:r>
      <w:r w:rsidR="00FD4261" w:rsidRPr="6A4D9E19">
        <w:rPr>
          <w:rFonts w:eastAsia="Arial" w:cs="Arial"/>
        </w:rPr>
        <w:t>services</w:t>
      </w:r>
      <w:r w:rsidR="0A9C1EFD" w:rsidRPr="6A4D9E19">
        <w:rPr>
          <w:rFonts w:eastAsia="Arial" w:cs="Arial"/>
        </w:rPr>
        <w:t>, which we will actively</w:t>
      </w:r>
      <w:r w:rsidR="0A94B183" w:rsidRPr="6A4D9E19">
        <w:rPr>
          <w:rFonts w:eastAsia="Arial" w:cs="Arial"/>
        </w:rPr>
        <w:t xml:space="preserve"> </w:t>
      </w:r>
      <w:r w:rsidR="2CC85D85" w:rsidRPr="6A4D9E19">
        <w:rPr>
          <w:rFonts w:eastAsia="Arial" w:cs="Arial"/>
        </w:rPr>
        <w:t xml:space="preserve">monitor as the year progresses. </w:t>
      </w:r>
      <w:r w:rsidR="60F129F4" w:rsidRPr="6A4D9E19">
        <w:rPr>
          <w:rFonts w:eastAsia="Arial" w:cs="Arial"/>
        </w:rPr>
        <w:t xml:space="preserve">Our advocacy services continued to grow following the expansion of our </w:t>
      </w:r>
      <w:r w:rsidR="10DFB529" w:rsidRPr="6A4D9E19">
        <w:rPr>
          <w:rFonts w:eastAsia="Arial" w:cs="Arial"/>
        </w:rPr>
        <w:t>Independent Mental He</w:t>
      </w:r>
      <w:r w:rsidR="52CE7623" w:rsidRPr="6A4D9E19">
        <w:rPr>
          <w:rFonts w:eastAsia="Arial" w:cs="Arial"/>
        </w:rPr>
        <w:t>alth Service to more offices</w:t>
      </w:r>
      <w:r w:rsidR="713A8FEC" w:rsidRPr="6A4D9E19">
        <w:rPr>
          <w:rFonts w:eastAsia="Arial" w:cs="Arial"/>
        </w:rPr>
        <w:t xml:space="preserve">. </w:t>
      </w:r>
      <w:r w:rsidR="5AE01B0D" w:rsidRPr="6A4D9E19">
        <w:rPr>
          <w:rFonts w:eastAsia="Arial" w:cs="Arial"/>
        </w:rPr>
        <w:t xml:space="preserve">At the end of the quarter, we </w:t>
      </w:r>
      <w:r w:rsidR="16729D3F" w:rsidRPr="6A4D9E19">
        <w:rPr>
          <w:rFonts w:eastAsia="Arial" w:cs="Arial"/>
        </w:rPr>
        <w:t xml:space="preserve">had a small operating </w:t>
      </w:r>
      <w:r w:rsidR="0CBFD78B" w:rsidRPr="6A4D9E19">
        <w:rPr>
          <w:rFonts w:eastAsia="Arial" w:cs="Arial"/>
        </w:rPr>
        <w:t>deficit of $0.5 million</w:t>
      </w:r>
      <w:r w:rsidR="00047038" w:rsidRPr="6A4D9E19">
        <w:rPr>
          <w:rFonts w:eastAsia="Arial" w:cs="Arial"/>
        </w:rPr>
        <w:t xml:space="preserve"> reflecting our ongoing core funding shortfall</w:t>
      </w:r>
      <w:r w:rsidR="0CBFD78B" w:rsidRPr="6A4D9E19">
        <w:rPr>
          <w:rFonts w:eastAsia="Arial" w:cs="Arial"/>
        </w:rPr>
        <w:t xml:space="preserve">. </w:t>
      </w:r>
    </w:p>
    <w:p w14:paraId="4C840555" w14:textId="26B1E46F" w:rsidR="0028315C" w:rsidRDefault="51DD1E6E" w:rsidP="007079F0">
      <w:r>
        <w:t>W</w:t>
      </w:r>
      <w:r w:rsidR="00EC700A">
        <w:t>e</w:t>
      </w:r>
      <w:r w:rsidR="006A3E54">
        <w:t xml:space="preserve"> </w:t>
      </w:r>
      <w:r w:rsidR="00EC700A">
        <w:t>continue</w:t>
      </w:r>
      <w:r w:rsidR="72EC4D40">
        <w:t xml:space="preserve">d </w:t>
      </w:r>
      <w:r w:rsidR="00EC700A">
        <w:t>our</w:t>
      </w:r>
      <w:r w:rsidR="006A3E54">
        <w:t xml:space="preserve"> </w:t>
      </w:r>
      <w:r w:rsidR="00C16FEF">
        <w:t xml:space="preserve">work </w:t>
      </w:r>
      <w:r w:rsidR="00EC700A">
        <w:t>to support improvements to</w:t>
      </w:r>
      <w:r w:rsidR="00C16FEF">
        <w:t xml:space="preserve"> the system </w:t>
      </w:r>
      <w:r w:rsidR="00981956">
        <w:t xml:space="preserve">and </w:t>
      </w:r>
      <w:r w:rsidR="00EC700A">
        <w:t xml:space="preserve">better </w:t>
      </w:r>
      <w:r w:rsidR="00981956">
        <w:t xml:space="preserve">outcomes </w:t>
      </w:r>
      <w:r w:rsidR="002E1031">
        <w:t>for the most marginalised in our community</w:t>
      </w:r>
      <w:r w:rsidR="04B913D8">
        <w:t>,</w:t>
      </w:r>
      <w:r w:rsidR="431C4048">
        <w:t xml:space="preserve"> </w:t>
      </w:r>
      <w:r w:rsidR="5339456B">
        <w:t xml:space="preserve">including </w:t>
      </w:r>
      <w:r w:rsidR="67662F9C">
        <w:t xml:space="preserve">First Nations children and young people </w:t>
      </w:r>
      <w:r w:rsidR="69D92908">
        <w:t xml:space="preserve">who </w:t>
      </w:r>
      <w:r w:rsidR="00BB225D">
        <w:t>are</w:t>
      </w:r>
      <w:r w:rsidR="67662F9C">
        <w:t xml:space="preserve"> overrepresented in the justice system</w:t>
      </w:r>
      <w:r w:rsidR="614F3E52">
        <w:t xml:space="preserve">. </w:t>
      </w:r>
      <w:r w:rsidR="06C27252">
        <w:t>Recently</w:t>
      </w:r>
      <w:r w:rsidR="002E1031">
        <w:t xml:space="preserve"> </w:t>
      </w:r>
      <w:r w:rsidR="473C58D1">
        <w:t xml:space="preserve">we </w:t>
      </w:r>
      <w:r w:rsidR="00BA3FC3">
        <w:t>made a submission to</w:t>
      </w:r>
      <w:r w:rsidR="00DC20C9">
        <w:t xml:space="preserve"> the Senate </w:t>
      </w:r>
      <w:r w:rsidR="002A0ED7">
        <w:t>I</w:t>
      </w:r>
      <w:r w:rsidR="00DC20C9">
        <w:t>nquiry examining the </w:t>
      </w:r>
      <w:hyperlink r:id="rId11">
        <w:r w:rsidR="00DC20C9" w:rsidRPr="3C26B846">
          <w:rPr>
            <w:rStyle w:val="Hyperlink"/>
          </w:rPr>
          <w:t>outcomes and impacts of youth justice systems in Australia</w:t>
        </w:r>
      </w:hyperlink>
      <w:r w:rsidR="00DC20C9">
        <w:t xml:space="preserve">. </w:t>
      </w:r>
      <w:r w:rsidR="00F06234">
        <w:t xml:space="preserve">Drawing on the experience of our </w:t>
      </w:r>
      <w:r w:rsidR="007855D2">
        <w:t>specialist youth crime lawyers</w:t>
      </w:r>
      <w:r w:rsidR="00185516">
        <w:t xml:space="preserve"> and our </w:t>
      </w:r>
      <w:r w:rsidR="006418D1">
        <w:t>clients</w:t>
      </w:r>
      <w:r w:rsidR="00921F22">
        <w:t xml:space="preserve"> who have</w:t>
      </w:r>
      <w:r w:rsidR="009E03B8">
        <w:t xml:space="preserve"> been involved</w:t>
      </w:r>
      <w:r w:rsidR="00185516">
        <w:t xml:space="preserve"> in the youth justice system</w:t>
      </w:r>
      <w:r w:rsidR="00DC20C9">
        <w:t xml:space="preserve">, </w:t>
      </w:r>
      <w:hyperlink r:id="rId12">
        <w:r w:rsidR="00F948D3" w:rsidRPr="3C26B846">
          <w:rPr>
            <w:rStyle w:val="Hyperlink"/>
          </w:rPr>
          <w:t>our submission</w:t>
        </w:r>
      </w:hyperlink>
      <w:r w:rsidR="009A6F30">
        <w:t xml:space="preserve"> ma</w:t>
      </w:r>
      <w:r w:rsidR="00EC700A">
        <w:t>de</w:t>
      </w:r>
      <w:r w:rsidR="009A6F30">
        <w:t xml:space="preserve"> six recommendations </w:t>
      </w:r>
      <w:r w:rsidR="00EC700A">
        <w:t>highlighting</w:t>
      </w:r>
      <w:r w:rsidR="00F948D3">
        <w:t xml:space="preserve"> the </w:t>
      </w:r>
      <w:r w:rsidR="006D0321">
        <w:t xml:space="preserve">clear and compelling recommendations </w:t>
      </w:r>
      <w:r w:rsidR="00D0532D">
        <w:t xml:space="preserve">made </w:t>
      </w:r>
      <w:r w:rsidR="00EC700A">
        <w:t>by</w:t>
      </w:r>
      <w:r w:rsidR="006D0321">
        <w:t xml:space="preserve"> the Yoorrook Justice Commission</w:t>
      </w:r>
      <w:r w:rsidR="009E03B8">
        <w:t>. It</w:t>
      </w:r>
      <w:r w:rsidR="009A6F30">
        <w:t xml:space="preserve"> </w:t>
      </w:r>
      <w:r w:rsidR="00036A95">
        <w:t>encourage</w:t>
      </w:r>
      <w:r w:rsidR="00B06526">
        <w:t>s</w:t>
      </w:r>
      <w:r w:rsidR="00036A95">
        <w:t xml:space="preserve"> the government to listen to the voices of children, young people and their families</w:t>
      </w:r>
      <w:r w:rsidR="00BD55ED">
        <w:t xml:space="preserve"> in </w:t>
      </w:r>
      <w:r w:rsidR="00B06526">
        <w:t xml:space="preserve">designing a system that helps keep children out of the </w:t>
      </w:r>
      <w:r w:rsidR="008829B0">
        <w:t xml:space="preserve">system and ensure their </w:t>
      </w:r>
      <w:r w:rsidR="00BB5D18">
        <w:t xml:space="preserve">human rights are protected. </w:t>
      </w:r>
    </w:p>
    <w:p w14:paraId="276F3FCA" w14:textId="16A1C285" w:rsidR="00853A96" w:rsidRDefault="00220D53" w:rsidP="3C26B846">
      <w:r>
        <w:t>We</w:t>
      </w:r>
      <w:r w:rsidR="10EC0E90">
        <w:t xml:space="preserve"> also</w:t>
      </w:r>
      <w:r>
        <w:t xml:space="preserve"> made a </w:t>
      </w:r>
      <w:hyperlink r:id="rId13">
        <w:r w:rsidRPr="3C26B846">
          <w:rPr>
            <w:rStyle w:val="Hyperlink"/>
          </w:rPr>
          <w:t xml:space="preserve">submission to </w:t>
        </w:r>
        <w:r w:rsidR="00C43C91" w:rsidRPr="3C26B846">
          <w:rPr>
            <w:rStyle w:val="Hyperlink"/>
          </w:rPr>
          <w:t xml:space="preserve">the </w:t>
        </w:r>
        <w:r w:rsidR="00A10FB8" w:rsidRPr="3C26B846">
          <w:rPr>
            <w:rStyle w:val="Hyperlink"/>
          </w:rPr>
          <w:t>I</w:t>
        </w:r>
        <w:r w:rsidR="00C43C91" w:rsidRPr="3C26B846">
          <w:rPr>
            <w:rStyle w:val="Hyperlink"/>
          </w:rPr>
          <w:t>nquiry into Family Violence orders</w:t>
        </w:r>
      </w:hyperlink>
      <w:r w:rsidR="000C1266">
        <w:t xml:space="preserve"> that </w:t>
      </w:r>
      <w:r w:rsidR="003027D7">
        <w:t>calls for investment in women’s legal services and Legal Aid family law and child support legal assistance, as well as further law reform</w:t>
      </w:r>
      <w:r w:rsidR="000E3D3D">
        <w:t xml:space="preserve"> and investment in programs for First Nations communities. </w:t>
      </w:r>
      <w:r w:rsidR="0AA9C090">
        <w:t xml:space="preserve">The rate of family violence is continuing to grow, which was reflected in figures recently released by the Crime Statistics Agency. </w:t>
      </w:r>
      <w:r w:rsidR="0050521F">
        <w:t>It is critical th</w:t>
      </w:r>
      <w:r w:rsidR="00EF4F44">
        <w:t>at victim-survivors in the family law system experience safe, accessible, inclusive services centred on their needs.</w:t>
      </w:r>
      <w:r w:rsidR="0058BE25">
        <w:t xml:space="preserve"> </w:t>
      </w:r>
    </w:p>
    <w:p w14:paraId="4782403F" w14:textId="3B180FA6" w:rsidR="000E3D3D" w:rsidRDefault="000E3D3D" w:rsidP="007079F0">
      <w:r>
        <w:t xml:space="preserve">As part of National Legal Aid, </w:t>
      </w:r>
      <w:hyperlink r:id="rId14">
        <w:r w:rsidRPr="3C26B846">
          <w:rPr>
            <w:rStyle w:val="Hyperlink"/>
          </w:rPr>
          <w:t>we welcome</w:t>
        </w:r>
        <w:r w:rsidR="0050521F" w:rsidRPr="3C26B846">
          <w:rPr>
            <w:rStyle w:val="Hyperlink"/>
          </w:rPr>
          <w:t>d</w:t>
        </w:r>
        <w:r w:rsidRPr="3C26B846">
          <w:rPr>
            <w:rStyle w:val="Hyperlink"/>
          </w:rPr>
          <w:t xml:space="preserve"> the announcement by National Cabinet of additional funding</w:t>
        </w:r>
      </w:hyperlink>
      <w:r>
        <w:t xml:space="preserve"> for legal assistance services and the commitment to longer term funding under a new</w:t>
      </w:r>
      <w:r w:rsidR="500577C9">
        <w:t xml:space="preserve"> National Access to Justice Partnership</w:t>
      </w:r>
      <w:r>
        <w:t xml:space="preserve"> </w:t>
      </w:r>
      <w:r w:rsidR="702C0EE2">
        <w:t>(</w:t>
      </w:r>
      <w:r w:rsidR="006F7E2F">
        <w:t>N</w:t>
      </w:r>
      <w:r w:rsidR="00A90A50">
        <w:t>AJP</w:t>
      </w:r>
      <w:r w:rsidR="7B747B99">
        <w:t>)</w:t>
      </w:r>
      <w:r w:rsidR="00A90A50">
        <w:t xml:space="preserve">. </w:t>
      </w:r>
      <w:r>
        <w:t xml:space="preserve">We </w:t>
      </w:r>
      <w:r w:rsidR="22BBF9D2">
        <w:t xml:space="preserve">are </w:t>
      </w:r>
      <w:r w:rsidR="5354FB16">
        <w:t xml:space="preserve">currently </w:t>
      </w:r>
      <w:r w:rsidR="001D7592">
        <w:t>await</w:t>
      </w:r>
      <w:r w:rsidR="059B217E">
        <w:t>ing</w:t>
      </w:r>
      <w:r w:rsidR="001D7592">
        <w:t xml:space="preserve"> f</w:t>
      </w:r>
      <w:r w:rsidR="00AF3490">
        <w:t>urther details on funding allocations for VLA and the sector</w:t>
      </w:r>
      <w:r w:rsidR="00ED5C0B">
        <w:t xml:space="preserve"> </w:t>
      </w:r>
      <w:r w:rsidR="002C4482">
        <w:t xml:space="preserve">which </w:t>
      </w:r>
      <w:r w:rsidR="00BB6BE7">
        <w:t>are</w:t>
      </w:r>
      <w:r w:rsidR="002C4482">
        <w:t xml:space="preserve"> </w:t>
      </w:r>
      <w:r w:rsidR="001804A8">
        <w:t>being finalised</w:t>
      </w:r>
      <w:r w:rsidR="00ED5C0B">
        <w:t>.</w:t>
      </w:r>
    </w:p>
    <w:p w14:paraId="05D4035C" w14:textId="61648948" w:rsidR="00365B47" w:rsidRDefault="11B4D7E8" w:rsidP="00B06DB4">
      <w:r>
        <w:t>Finally, o</w:t>
      </w:r>
      <w:r w:rsidR="009964D2">
        <w:t xml:space="preserve">ur </w:t>
      </w:r>
      <w:r w:rsidR="00903AB3">
        <w:t>Legal Help service celebrat</w:t>
      </w:r>
      <w:r w:rsidR="00476CBB">
        <w:t>ed</w:t>
      </w:r>
      <w:r w:rsidR="00903AB3">
        <w:t xml:space="preserve"> </w:t>
      </w:r>
      <w:r w:rsidR="417BC537">
        <w:t>its</w:t>
      </w:r>
      <w:r w:rsidR="00903AB3">
        <w:t xml:space="preserve"> </w:t>
      </w:r>
      <w:r w:rsidR="00A018B2">
        <w:t>40-year</w:t>
      </w:r>
      <w:r w:rsidR="00903AB3">
        <w:t xml:space="preserve"> anniversary.</w:t>
      </w:r>
      <w:r w:rsidR="000F330B">
        <w:t xml:space="preserve"> </w:t>
      </w:r>
      <w:r w:rsidR="00476CBB">
        <w:t>It started as</w:t>
      </w:r>
      <w:r w:rsidR="000F330B">
        <w:t xml:space="preserve"> a telephone advice service in 1984</w:t>
      </w:r>
      <w:r w:rsidR="00476CBB">
        <w:t xml:space="preserve"> and</w:t>
      </w:r>
      <w:r w:rsidR="000F330B">
        <w:t xml:space="preserve"> has</w:t>
      </w:r>
      <w:r w:rsidR="00C90D69">
        <w:t xml:space="preserve"> since</w:t>
      </w:r>
      <w:r w:rsidR="000F330B">
        <w:t xml:space="preserve"> </w:t>
      </w:r>
      <w:r w:rsidR="00501B20">
        <w:t xml:space="preserve">evolved </w:t>
      </w:r>
      <w:r w:rsidR="00C90D69">
        <w:t>as the</w:t>
      </w:r>
      <w:r w:rsidR="00476CBB">
        <w:t xml:space="preserve"> primary </w:t>
      </w:r>
      <w:r w:rsidR="009D1CFA">
        <w:t>intake</w:t>
      </w:r>
      <w:r w:rsidR="00476CBB">
        <w:t xml:space="preserve"> point</w:t>
      </w:r>
      <w:r w:rsidR="009D1CFA">
        <w:t xml:space="preserve"> for legal assistance in Victoria. Over the years</w:t>
      </w:r>
      <w:r w:rsidR="00C90D69">
        <w:t>, the service</w:t>
      </w:r>
      <w:r w:rsidR="009D1CFA">
        <w:t xml:space="preserve"> was expanded to</w:t>
      </w:r>
      <w:r w:rsidR="00501B20">
        <w:t xml:space="preserve"> </w:t>
      </w:r>
      <w:r w:rsidR="00DE6DAF">
        <w:t xml:space="preserve">include the introduction of </w:t>
      </w:r>
      <w:r w:rsidR="00D46F20">
        <w:t xml:space="preserve">different language lines, priority lines for family violence </w:t>
      </w:r>
      <w:r w:rsidR="00A67FD5">
        <w:t>clients and both in</w:t>
      </w:r>
      <w:r w:rsidR="00E013C9">
        <w:t>-</w:t>
      </w:r>
      <w:r w:rsidR="00A67FD5">
        <w:t>person and webchat-based services</w:t>
      </w:r>
      <w:r w:rsidR="00C07BE3">
        <w:t>.</w:t>
      </w:r>
      <w:r w:rsidR="00303BA1">
        <w:t xml:space="preserve"> </w:t>
      </w:r>
      <w:r w:rsidR="00C77736">
        <w:t>Recently, w</w:t>
      </w:r>
      <w:r w:rsidR="003E3B85">
        <w:t xml:space="preserve">e </w:t>
      </w:r>
      <w:hyperlink r:id="rId15">
        <w:r w:rsidR="003E3B85" w:rsidRPr="3C26B846">
          <w:rPr>
            <w:rStyle w:val="Hyperlink"/>
          </w:rPr>
          <w:t>upgraded our online chat</w:t>
        </w:r>
      </w:hyperlink>
      <w:r w:rsidR="003E3B85">
        <w:t xml:space="preserve"> to make it easier to use</w:t>
      </w:r>
      <w:r w:rsidR="003D564B">
        <w:t xml:space="preserve"> and provide a better service to help seek</w:t>
      </w:r>
      <w:r w:rsidR="00BA44CE">
        <w:t>er</w:t>
      </w:r>
      <w:r w:rsidR="003D564B">
        <w:t xml:space="preserve">s. We </w:t>
      </w:r>
      <w:r w:rsidR="006E4BC2">
        <w:t xml:space="preserve">will </w:t>
      </w:r>
      <w:r w:rsidR="0081113E">
        <w:t>continue to modernise and tailor services to make them more responsive and sustainable</w:t>
      </w:r>
      <w:r w:rsidR="00F4036E">
        <w:t>.</w:t>
      </w:r>
    </w:p>
    <w:p w14:paraId="486A4091" w14:textId="3B012BD2" w:rsidR="004951AE" w:rsidRDefault="00B06DB4" w:rsidP="00B06DB4">
      <w:pPr>
        <w:snapToGrid w:val="0"/>
        <w:spacing w:before="480" w:after="240"/>
      </w:pPr>
      <w:r w:rsidRPr="4E980F50">
        <w:rPr>
          <w:b/>
          <w:bCs/>
        </w:rPr>
        <w:t>Rowan Mcrae</w:t>
      </w:r>
      <w:r>
        <w:br/>
      </w:r>
      <w:r w:rsidR="00226DD4">
        <w:t xml:space="preserve">Acting </w:t>
      </w:r>
      <w:r w:rsidR="004951AE">
        <w:t>Chief Executive Officer</w:t>
      </w:r>
    </w:p>
    <w:p w14:paraId="2F76DF75" w14:textId="7F7A3A05" w:rsidR="00212B87" w:rsidRPr="006C76C7" w:rsidRDefault="001E3078" w:rsidP="006663C9">
      <w:pPr>
        <w:pStyle w:val="Heading2"/>
      </w:pPr>
      <w:r>
        <w:br w:type="page"/>
      </w:r>
      <w:r w:rsidR="002A3F88">
        <w:lastRenderedPageBreak/>
        <w:t>Our</w:t>
      </w:r>
      <w:r w:rsidR="00212B87" w:rsidRPr="00B067B4">
        <w:t xml:space="preserve"> </w:t>
      </w:r>
      <w:r w:rsidR="00B06DB4" w:rsidRPr="00B067B4">
        <w:t>services</w:t>
      </w:r>
    </w:p>
    <w:p w14:paraId="7E674CC3" w14:textId="0CC3DA52" w:rsidR="00212B87" w:rsidRDefault="00212B87" w:rsidP="00212B87">
      <w:r>
        <w:t xml:space="preserve">Our </w:t>
      </w:r>
      <w:r w:rsidR="10607955">
        <w:t xml:space="preserve">client and community </w:t>
      </w:r>
      <w:r>
        <w:t>services are targeted to</w:t>
      </w:r>
      <w:r w:rsidR="5848CF34">
        <w:t>wards</w:t>
      </w:r>
      <w:r>
        <w:t xml:space="preserve"> people facing disadvantage who have the greatest legal need. We tailor our services to people’s diverse needs and capabilities and recognise that many people experience barriers to accessing justice. We provide a mix of early intervention and preventative services, </w:t>
      </w:r>
      <w:r w:rsidR="6E5CB68F">
        <w:t>high</w:t>
      </w:r>
      <w:r w:rsidR="1C0319E9">
        <w:t xml:space="preserve"> </w:t>
      </w:r>
      <w:r w:rsidR="00803C61">
        <w:noBreakHyphen/>
      </w:r>
      <w:r w:rsidR="4481A666">
        <w:t xml:space="preserve">intensity legal services, </w:t>
      </w:r>
      <w:r>
        <w:t xml:space="preserve">and non-legal </w:t>
      </w:r>
      <w:r w:rsidR="4818D8CE">
        <w:t>services including independent</w:t>
      </w:r>
      <w:r w:rsidR="4EA23897">
        <w:t xml:space="preserve"> </w:t>
      </w:r>
      <w:r>
        <w:t xml:space="preserve">advocacy </w:t>
      </w:r>
      <w:r w:rsidR="77AF5A60">
        <w:t xml:space="preserve">and specialist resolution </w:t>
      </w:r>
      <w:r>
        <w:t>services.</w:t>
      </w:r>
    </w:p>
    <w:p w14:paraId="5BF8DD0F" w14:textId="4417DB6C" w:rsidR="00212B87" w:rsidRPr="006663C9" w:rsidRDefault="00212B87" w:rsidP="006663C9">
      <w:pPr>
        <w:pStyle w:val="Heading2"/>
      </w:pPr>
      <w:r w:rsidRPr="006663C9">
        <w:t xml:space="preserve">Client </w:t>
      </w:r>
      <w:r w:rsidR="00B06DB4" w:rsidRPr="006663C9">
        <w:t>services</w:t>
      </w:r>
    </w:p>
    <w:p w14:paraId="75456AFA" w14:textId="6E6DDE7B" w:rsidR="00212B87" w:rsidRDefault="00212B87" w:rsidP="0B2DEDFC">
      <w:pPr>
        <w:rPr>
          <w:highlight w:val="yellow"/>
        </w:rPr>
      </w:pPr>
      <w:r>
        <w:t xml:space="preserve">In quarter </w:t>
      </w:r>
      <w:r w:rsidR="00574BEE">
        <w:t>one</w:t>
      </w:r>
      <w:r>
        <w:t xml:space="preserve">, we saw </w:t>
      </w:r>
      <w:r w:rsidR="00484EC2">
        <w:t>29,934</w:t>
      </w:r>
      <w:r>
        <w:t xml:space="preserve"> unique clients (Table 1.1). </w:t>
      </w:r>
      <w:r w:rsidR="0072234F">
        <w:t>As c</w:t>
      </w:r>
      <w:r w:rsidR="00E83D75">
        <w:t>lients are only counted the first time they receive a legal assistance service in a financial year</w:t>
      </w:r>
      <w:r w:rsidR="004B427C">
        <w:t xml:space="preserve">, </w:t>
      </w:r>
      <w:r w:rsidR="00AB144F">
        <w:t xml:space="preserve">our unique client count is </w:t>
      </w:r>
      <w:r w:rsidR="004B427C">
        <w:t xml:space="preserve">always </w:t>
      </w:r>
      <w:r w:rsidR="00AB144F">
        <w:t xml:space="preserve">the highest at the start of the financial year and decreases as the year progresses. </w:t>
      </w:r>
      <w:r w:rsidR="00C86ECF">
        <w:t xml:space="preserve">The current </w:t>
      </w:r>
      <w:r w:rsidR="007C0CFE">
        <w:t xml:space="preserve">measure does not capture all the services </w:t>
      </w:r>
      <w:r w:rsidR="003003FA">
        <w:t>V</w:t>
      </w:r>
      <w:r w:rsidR="004173EE">
        <w:t>L</w:t>
      </w:r>
      <w:r w:rsidR="003003FA">
        <w:t xml:space="preserve">A provides including information and </w:t>
      </w:r>
      <w:r w:rsidR="1AC0FE97">
        <w:t xml:space="preserve">independent </w:t>
      </w:r>
      <w:r w:rsidR="003003FA">
        <w:t>advocacy services</w:t>
      </w:r>
      <w:r w:rsidR="000F3229">
        <w:t>. VLA is working with the Department to improve our</w:t>
      </w:r>
      <w:r w:rsidR="79D27E6D">
        <w:t xml:space="preserve"> service performance</w:t>
      </w:r>
      <w:r w:rsidR="000F3229">
        <w:t xml:space="preserve"> measures for </w:t>
      </w:r>
      <w:r w:rsidR="00441C50">
        <w:t>2025-26.</w:t>
      </w:r>
    </w:p>
    <w:p w14:paraId="4F1130E0" w14:textId="7FA761A1" w:rsidR="00066FB6" w:rsidRPr="007E5B6E" w:rsidRDefault="00066FB6" w:rsidP="00212B87">
      <w:r>
        <w:t xml:space="preserve">Legal </w:t>
      </w:r>
      <w:r w:rsidR="00806DE8">
        <w:t>a</w:t>
      </w:r>
      <w:r>
        <w:t xml:space="preserve">dvice and </w:t>
      </w:r>
      <w:r w:rsidR="00806DE8">
        <w:t>minor assistance</w:t>
      </w:r>
      <w:r>
        <w:t xml:space="preserve"> </w:t>
      </w:r>
      <w:r w:rsidR="00DD7993">
        <w:t xml:space="preserve">provided during the quarter </w:t>
      </w:r>
      <w:r w:rsidR="00392F69">
        <w:t>was</w:t>
      </w:r>
      <w:r w:rsidR="00C97F39">
        <w:t xml:space="preserve"> </w:t>
      </w:r>
      <w:r w:rsidR="000D713B">
        <w:t>11 per cent lower than</w:t>
      </w:r>
      <w:r w:rsidR="00C97F39">
        <w:t xml:space="preserve"> </w:t>
      </w:r>
      <w:r w:rsidR="00C120DC">
        <w:t xml:space="preserve">last </w:t>
      </w:r>
      <w:r>
        <w:t xml:space="preserve">quarter. </w:t>
      </w:r>
      <w:r w:rsidR="00D04EE3">
        <w:t>Higher level of vacancies in regional locations may be contributing</w:t>
      </w:r>
      <w:r w:rsidR="00D33C09">
        <w:t xml:space="preserve"> to this result.</w:t>
      </w:r>
      <w:r w:rsidR="00AD66ED">
        <w:t xml:space="preserve"> </w:t>
      </w:r>
      <w:r w:rsidR="00F23497">
        <w:t>Despite the lower</w:t>
      </w:r>
      <w:r w:rsidR="00383368">
        <w:t xml:space="preserve"> </w:t>
      </w:r>
      <w:r w:rsidR="00E45989">
        <w:t>result</w:t>
      </w:r>
      <w:r w:rsidR="00383368">
        <w:t xml:space="preserve"> observed </w:t>
      </w:r>
      <w:r w:rsidR="00236B20">
        <w:t>this quarter</w:t>
      </w:r>
      <w:r w:rsidR="00E0432C">
        <w:t xml:space="preserve">, </w:t>
      </w:r>
      <w:r w:rsidR="001F57E3">
        <w:t>VLA</w:t>
      </w:r>
      <w:r w:rsidR="00E0432C">
        <w:t xml:space="preserve"> </w:t>
      </w:r>
      <w:r w:rsidR="00750685">
        <w:t>still</w:t>
      </w:r>
      <w:r w:rsidR="00395F7F">
        <w:t xml:space="preserve"> </w:t>
      </w:r>
      <w:r w:rsidR="00CB0554">
        <w:t>continue</w:t>
      </w:r>
      <w:r w:rsidR="00750685">
        <w:t>s</w:t>
      </w:r>
      <w:r w:rsidR="00395F7F">
        <w:t xml:space="preserve"> </w:t>
      </w:r>
      <w:r w:rsidR="00072D87">
        <w:t>its</w:t>
      </w:r>
      <w:r w:rsidR="00061BA6">
        <w:t xml:space="preserve"> strong </w:t>
      </w:r>
      <w:r w:rsidR="001F57E3">
        <w:t>focus</w:t>
      </w:r>
      <w:r w:rsidR="00F814A9">
        <w:t xml:space="preserve"> </w:t>
      </w:r>
      <w:r w:rsidR="001F57E3">
        <w:t xml:space="preserve">on </w:t>
      </w:r>
      <w:r w:rsidR="007A67F6">
        <w:t>early intervention</w:t>
      </w:r>
      <w:r w:rsidR="00165333">
        <w:t xml:space="preserve"> </w:t>
      </w:r>
      <w:r w:rsidR="00174FBE">
        <w:t>services</w:t>
      </w:r>
      <w:r w:rsidR="0059023A">
        <w:t xml:space="preserve"> including our </w:t>
      </w:r>
      <w:hyperlink r:id="rId16">
        <w:r w:rsidR="00084DA2" w:rsidRPr="007E9578">
          <w:rPr>
            <w:rStyle w:val="Hyperlink"/>
            <w:rFonts w:eastAsia="Arial" w:cs="Arial"/>
            <w:lang w:val="en-GB"/>
          </w:rPr>
          <w:t>Help Before Court</w:t>
        </w:r>
      </w:hyperlink>
      <w:r w:rsidR="00084DA2" w:rsidRPr="007E9578">
        <w:rPr>
          <w:rFonts w:eastAsia="Arial" w:cs="Arial"/>
          <w:lang w:val="en-GB"/>
        </w:rPr>
        <w:t xml:space="preserve"> and </w:t>
      </w:r>
      <w:hyperlink r:id="rId17">
        <w:r w:rsidR="001D208F" w:rsidRPr="007E9578">
          <w:rPr>
            <w:rStyle w:val="Hyperlink"/>
            <w:rFonts w:eastAsia="Arial" w:cs="Arial"/>
            <w:lang w:val="en-GB"/>
          </w:rPr>
          <w:t>P</w:t>
        </w:r>
        <w:r w:rsidR="00084DA2" w:rsidRPr="007E9578">
          <w:rPr>
            <w:rStyle w:val="Hyperlink"/>
            <w:rFonts w:eastAsia="Arial" w:cs="Arial"/>
            <w:lang w:val="en-GB"/>
          </w:rPr>
          <w:t>re-</w:t>
        </w:r>
        <w:r w:rsidR="001D208F" w:rsidRPr="007E9578">
          <w:rPr>
            <w:rStyle w:val="Hyperlink"/>
            <w:rFonts w:eastAsia="Arial" w:cs="Arial"/>
            <w:lang w:val="en-GB"/>
          </w:rPr>
          <w:t>C</w:t>
        </w:r>
        <w:r w:rsidR="00084DA2" w:rsidRPr="007E9578">
          <w:rPr>
            <w:rStyle w:val="Hyperlink"/>
            <w:rFonts w:eastAsia="Arial" w:cs="Arial"/>
            <w:lang w:val="en-GB"/>
          </w:rPr>
          <w:t xml:space="preserve">ourt </w:t>
        </w:r>
        <w:r w:rsidR="001D208F" w:rsidRPr="007E9578">
          <w:rPr>
            <w:rStyle w:val="Hyperlink"/>
            <w:rFonts w:eastAsia="Arial" w:cs="Arial"/>
            <w:lang w:val="en-GB"/>
          </w:rPr>
          <w:t>E</w:t>
        </w:r>
        <w:r w:rsidR="00084DA2" w:rsidRPr="007E9578">
          <w:rPr>
            <w:rStyle w:val="Hyperlink"/>
            <w:rFonts w:eastAsia="Arial" w:cs="Arial"/>
            <w:lang w:val="en-GB"/>
          </w:rPr>
          <w:t>ngagement</w:t>
        </w:r>
      </w:hyperlink>
      <w:r w:rsidR="001D208F" w:rsidRPr="007E9578">
        <w:rPr>
          <w:rFonts w:eastAsia="Arial" w:cs="Arial"/>
          <w:lang w:val="en-GB"/>
        </w:rPr>
        <w:t xml:space="preserve"> service</w:t>
      </w:r>
      <w:r w:rsidR="00081E71" w:rsidRPr="007E9578">
        <w:rPr>
          <w:rFonts w:eastAsia="Arial" w:cs="Arial"/>
          <w:lang w:val="en-GB"/>
        </w:rPr>
        <w:t>s</w:t>
      </w:r>
      <w:r w:rsidR="0059023A" w:rsidRPr="007E9578">
        <w:rPr>
          <w:rFonts w:eastAsia="Arial" w:cs="Arial"/>
          <w:lang w:val="en-GB"/>
        </w:rPr>
        <w:t xml:space="preserve">. </w:t>
      </w:r>
    </w:p>
    <w:p w14:paraId="49513204" w14:textId="67126865" w:rsidR="00404D5F" w:rsidRPr="007E5B6E" w:rsidRDefault="005E2D59" w:rsidP="00212B87">
      <w:r>
        <w:t>Grants of legal assistance</w:t>
      </w:r>
      <w:r w:rsidR="006B1740">
        <w:t xml:space="preserve"> and Duty lawyer services </w:t>
      </w:r>
      <w:r>
        <w:t>were</w:t>
      </w:r>
      <w:r w:rsidR="00EC072E">
        <w:t xml:space="preserve"> </w:t>
      </w:r>
      <w:r w:rsidR="00575BBE">
        <w:t>4</w:t>
      </w:r>
      <w:r>
        <w:t xml:space="preserve"> per cent </w:t>
      </w:r>
      <w:r w:rsidR="37C25D95">
        <w:t xml:space="preserve">and 12 per cent </w:t>
      </w:r>
      <w:r w:rsidR="00575BBE">
        <w:t>lower</w:t>
      </w:r>
      <w:r>
        <w:t xml:space="preserve"> than last quarter. </w:t>
      </w:r>
      <w:r w:rsidR="00FC309E">
        <w:t>System</w:t>
      </w:r>
      <w:r w:rsidR="00040C11">
        <w:t xml:space="preserve"> demand drivers</w:t>
      </w:r>
      <w:r w:rsidR="00614002">
        <w:t xml:space="preserve"> affecting the criminal justice and child protection systems</w:t>
      </w:r>
      <w:r w:rsidR="00FC309E">
        <w:t xml:space="preserve"> (</w:t>
      </w:r>
      <w:r w:rsidR="00205321">
        <w:t>including bail law reforms</w:t>
      </w:r>
      <w:r w:rsidR="005A1366">
        <w:t xml:space="preserve"> </w:t>
      </w:r>
      <w:r w:rsidR="001F0235">
        <w:t xml:space="preserve">and </w:t>
      </w:r>
      <w:r w:rsidR="00CE1FD7">
        <w:t>lower child protection applications</w:t>
      </w:r>
      <w:r w:rsidR="00FC309E">
        <w:t>) continue</w:t>
      </w:r>
      <w:r w:rsidR="159C6182">
        <w:t xml:space="preserve"> to impact</w:t>
      </w:r>
      <w:r w:rsidR="00FC309E">
        <w:t xml:space="preserve"> </w:t>
      </w:r>
      <w:r w:rsidR="00DA686C">
        <w:t>current demand levels</w:t>
      </w:r>
      <w:r w:rsidR="00BB5647">
        <w:t>.</w:t>
      </w:r>
      <w:r w:rsidR="007C79F8">
        <w:t xml:space="preserve"> </w:t>
      </w:r>
      <w:r w:rsidR="00CF0B70">
        <w:t xml:space="preserve">However, recent </w:t>
      </w:r>
      <w:r w:rsidR="007C79F8">
        <w:t>Criminal Statistics Agency’s (CSA) statistics for financial year 2023-24 show an increase in criminal offenses in the last 12 months</w:t>
      </w:r>
      <w:r w:rsidR="000A0A5F">
        <w:t xml:space="preserve"> which may impact future demand levels as </w:t>
      </w:r>
      <w:r w:rsidR="009A15F7">
        <w:t>this flows through the system</w:t>
      </w:r>
      <w:r w:rsidR="000A0A5F">
        <w:t>.  This will be monitored</w:t>
      </w:r>
      <w:r w:rsidR="009A15F7">
        <w:t xml:space="preserve"> in the coming quarters.  </w:t>
      </w:r>
      <w:r w:rsidR="00807F9F">
        <w:t xml:space="preserve">In addition, </w:t>
      </w:r>
      <w:r w:rsidR="2B4465ED">
        <w:t>we</w:t>
      </w:r>
      <w:r w:rsidR="007B3F7A">
        <w:t xml:space="preserve"> </w:t>
      </w:r>
      <w:r w:rsidR="00AC2CF4">
        <w:t>continue to</w:t>
      </w:r>
      <w:r w:rsidR="007B3F7A">
        <w:t xml:space="preserve"> observ</w:t>
      </w:r>
      <w:r w:rsidR="00AC2CF4">
        <w:t>e</w:t>
      </w:r>
      <w:r w:rsidR="00510F71">
        <w:t xml:space="preserve"> </w:t>
      </w:r>
      <w:r w:rsidR="007B3F7A">
        <w:t xml:space="preserve">that cases are </w:t>
      </w:r>
      <w:r w:rsidR="00CE6300">
        <w:t xml:space="preserve">becoming </w:t>
      </w:r>
      <w:r w:rsidR="007B3F7A">
        <w:t>increasingly complex</w:t>
      </w:r>
      <w:r w:rsidR="00892663">
        <w:t xml:space="preserve"> </w:t>
      </w:r>
      <w:r w:rsidR="008B4B7D">
        <w:t>which has resulted</w:t>
      </w:r>
      <w:r w:rsidR="00CE1FD7">
        <w:t xml:space="preserve"> in some </w:t>
      </w:r>
      <w:r w:rsidR="00892663">
        <w:t xml:space="preserve">backlog of </w:t>
      </w:r>
      <w:r w:rsidR="00BE7A35">
        <w:t xml:space="preserve">grant </w:t>
      </w:r>
      <w:r w:rsidR="002E2145">
        <w:t>applications</w:t>
      </w:r>
      <w:r w:rsidR="00892663">
        <w:t>, however</w:t>
      </w:r>
      <w:r w:rsidR="002E2145">
        <w:t xml:space="preserve"> </w:t>
      </w:r>
      <w:r w:rsidR="39FAD67A">
        <w:t xml:space="preserve">additional resources </w:t>
      </w:r>
      <w:r w:rsidR="09E47E52">
        <w:t xml:space="preserve">this quarter </w:t>
      </w:r>
      <w:r w:rsidR="00094E8D">
        <w:t>h</w:t>
      </w:r>
      <w:r w:rsidR="05693A6A">
        <w:t>ave</w:t>
      </w:r>
      <w:r w:rsidR="00094E8D">
        <w:t xml:space="preserve"> </w:t>
      </w:r>
      <w:r w:rsidR="53B69AE9">
        <w:t xml:space="preserve">helped </w:t>
      </w:r>
      <w:r w:rsidR="00C970A7">
        <w:t>address this</w:t>
      </w:r>
      <w:r w:rsidR="00882FA2">
        <w:t xml:space="preserve">. </w:t>
      </w:r>
      <w:r w:rsidR="00CE1FD7">
        <w:t xml:space="preserve"> </w:t>
      </w:r>
      <w:r w:rsidR="00C970A7">
        <w:t xml:space="preserve"> </w:t>
      </w:r>
      <w:r w:rsidR="00892663">
        <w:t xml:space="preserve"> </w:t>
      </w:r>
    </w:p>
    <w:p w14:paraId="4EEA0E4F" w14:textId="644A602F" w:rsidR="00212B87" w:rsidRDefault="00212B87" w:rsidP="006663C9">
      <w:pPr>
        <w:pStyle w:val="Tableheader"/>
      </w:pPr>
      <w:r w:rsidRPr="00742E79">
        <w:t xml:space="preserve">Table 1.1 </w:t>
      </w:r>
      <w:bookmarkStart w:id="0" w:name="_Hlk147494133"/>
      <w:r w:rsidRPr="00742E79">
        <w:t>Unique client count</w:t>
      </w:r>
      <w:r>
        <w:t xml:space="preserve"> and </w:t>
      </w:r>
      <w:r w:rsidR="002A5DDA">
        <w:t xml:space="preserve">client </w:t>
      </w:r>
      <w:r>
        <w:t>services</w:t>
      </w:r>
      <w:bookmarkEnd w:id="0"/>
    </w:p>
    <w:tbl>
      <w:tblPr>
        <w:tblW w:w="9855" w:type="dxa"/>
        <w:tblLook w:val="04A0" w:firstRow="1" w:lastRow="0" w:firstColumn="1" w:lastColumn="0" w:noHBand="0" w:noVBand="1"/>
      </w:tblPr>
      <w:tblGrid>
        <w:gridCol w:w="4422"/>
        <w:gridCol w:w="1811"/>
        <w:gridCol w:w="1811"/>
        <w:gridCol w:w="1811"/>
      </w:tblGrid>
      <w:tr w:rsidR="00212B87" w:rsidRPr="003A7C01" w14:paraId="4E79EC1A" w14:textId="77777777" w:rsidTr="00B06DB4">
        <w:trPr>
          <w:cantSplit/>
          <w:trHeight w:val="322"/>
          <w:tblHeader/>
        </w:trPr>
        <w:tc>
          <w:tcPr>
            <w:tcW w:w="4422" w:type="dxa"/>
            <w:vMerge w:val="restart"/>
            <w:tcBorders>
              <w:top w:val="single" w:sz="4" w:space="0" w:color="auto"/>
              <w:left w:val="single" w:sz="4" w:space="0" w:color="auto"/>
              <w:bottom w:val="single" w:sz="4" w:space="0" w:color="auto"/>
              <w:right w:val="single" w:sz="4" w:space="0" w:color="auto"/>
            </w:tcBorders>
            <w:shd w:val="clear" w:color="auto" w:fill="B59CC0"/>
            <w:vAlign w:val="center"/>
            <w:hideMark/>
          </w:tcPr>
          <w:p w14:paraId="0433D4B4" w14:textId="67EA457E" w:rsidR="00212B87" w:rsidRPr="003A7C01" w:rsidRDefault="001158DB" w:rsidP="00417688">
            <w:pPr>
              <w:rPr>
                <w:rFonts w:cs="Arial"/>
                <w:b/>
                <w:bCs/>
                <w:color w:val="000000"/>
                <w:szCs w:val="22"/>
                <w:lang w:eastAsia="zh-CN" w:bidi="th-TH"/>
              </w:rPr>
            </w:pPr>
            <w:r>
              <w:rPr>
                <w:rFonts w:cs="Arial"/>
                <w:b/>
                <w:bCs/>
                <w:color w:val="000000"/>
                <w:szCs w:val="22"/>
                <w:lang w:eastAsia="zh-CN" w:bidi="th-TH"/>
              </w:rPr>
              <w:t>Unique c</w:t>
            </w:r>
            <w:r w:rsidR="00212B87" w:rsidRPr="003A7C01">
              <w:rPr>
                <w:rFonts w:cs="Arial"/>
                <w:b/>
                <w:bCs/>
                <w:color w:val="000000"/>
                <w:szCs w:val="22"/>
                <w:lang w:eastAsia="zh-CN" w:bidi="th-TH"/>
              </w:rPr>
              <w:t xml:space="preserve">lients and </w:t>
            </w:r>
            <w:r w:rsidR="00690B65">
              <w:rPr>
                <w:rFonts w:cs="Arial"/>
                <w:b/>
                <w:bCs/>
                <w:color w:val="000000"/>
                <w:szCs w:val="22"/>
                <w:lang w:eastAsia="zh-CN" w:bidi="th-TH"/>
              </w:rPr>
              <w:t>c</w:t>
            </w:r>
            <w:r w:rsidR="00212B87" w:rsidRPr="003A7C01">
              <w:rPr>
                <w:rFonts w:cs="Arial"/>
                <w:b/>
                <w:bCs/>
                <w:color w:val="000000"/>
                <w:szCs w:val="22"/>
                <w:lang w:eastAsia="zh-CN" w:bidi="th-TH"/>
              </w:rPr>
              <w:t xml:space="preserve">lient </w:t>
            </w:r>
            <w:r w:rsidR="00690B65">
              <w:rPr>
                <w:rFonts w:cs="Arial"/>
                <w:b/>
                <w:bCs/>
                <w:color w:val="000000"/>
                <w:szCs w:val="22"/>
                <w:lang w:eastAsia="zh-CN" w:bidi="th-TH"/>
              </w:rPr>
              <w:t>s</w:t>
            </w:r>
            <w:r w:rsidR="00212B87" w:rsidRPr="003A7C01">
              <w:rPr>
                <w:rFonts w:cs="Arial"/>
                <w:b/>
                <w:bCs/>
                <w:color w:val="000000"/>
                <w:szCs w:val="22"/>
                <w:lang w:eastAsia="zh-CN" w:bidi="th-TH"/>
              </w:rPr>
              <w:t>ervices </w:t>
            </w:r>
          </w:p>
        </w:tc>
        <w:tc>
          <w:tcPr>
            <w:tcW w:w="1811" w:type="dxa"/>
            <w:tcBorders>
              <w:top w:val="single" w:sz="4" w:space="0" w:color="auto"/>
              <w:left w:val="single" w:sz="4" w:space="0" w:color="auto"/>
              <w:bottom w:val="nil"/>
              <w:right w:val="single" w:sz="4" w:space="0" w:color="auto"/>
            </w:tcBorders>
            <w:shd w:val="clear" w:color="auto" w:fill="B59CC0"/>
            <w:vAlign w:val="center"/>
            <w:hideMark/>
          </w:tcPr>
          <w:p w14:paraId="5373B55C" w14:textId="2178DBD3"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295BA9">
              <w:rPr>
                <w:rFonts w:cs="Arial"/>
                <w:b/>
                <w:bCs/>
                <w:color w:val="000000" w:themeColor="text1"/>
                <w:lang w:eastAsia="zh-CN" w:bidi="th-TH"/>
              </w:rPr>
              <w:t>4</w:t>
            </w:r>
          </w:p>
        </w:tc>
        <w:tc>
          <w:tcPr>
            <w:tcW w:w="1811" w:type="dxa"/>
            <w:tcBorders>
              <w:top w:val="single" w:sz="4" w:space="0" w:color="auto"/>
              <w:left w:val="nil"/>
              <w:bottom w:val="nil"/>
              <w:right w:val="single" w:sz="4" w:space="0" w:color="auto"/>
            </w:tcBorders>
            <w:shd w:val="clear" w:color="auto" w:fill="B59CC0"/>
            <w:vAlign w:val="center"/>
            <w:hideMark/>
          </w:tcPr>
          <w:p w14:paraId="19017E90" w14:textId="3495FA74"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295BA9">
              <w:rPr>
                <w:rFonts w:cs="Arial"/>
                <w:b/>
                <w:bCs/>
                <w:color w:val="000000" w:themeColor="text1"/>
                <w:lang w:eastAsia="zh-CN" w:bidi="th-TH"/>
              </w:rPr>
              <w:t>1</w:t>
            </w:r>
          </w:p>
        </w:tc>
        <w:tc>
          <w:tcPr>
            <w:tcW w:w="1811" w:type="dxa"/>
            <w:tcBorders>
              <w:top w:val="single" w:sz="4" w:space="0" w:color="auto"/>
              <w:left w:val="nil"/>
              <w:bottom w:val="nil"/>
              <w:right w:val="single" w:sz="4" w:space="0" w:color="auto"/>
            </w:tcBorders>
            <w:shd w:val="clear" w:color="auto" w:fill="B59CC0"/>
            <w:vAlign w:val="center"/>
            <w:hideMark/>
          </w:tcPr>
          <w:p w14:paraId="6961229E" w14:textId="78B614F2"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295BA9">
              <w:rPr>
                <w:rFonts w:cs="Arial"/>
                <w:b/>
                <w:bCs/>
                <w:color w:val="000000" w:themeColor="text1"/>
                <w:lang w:eastAsia="zh-CN" w:bidi="th-TH"/>
              </w:rPr>
              <w:t>2</w:t>
            </w:r>
            <w:r w:rsidRPr="0B2DEDFC">
              <w:rPr>
                <w:rFonts w:cs="Arial"/>
                <w:b/>
                <w:bCs/>
                <w:color w:val="000000" w:themeColor="text1"/>
                <w:lang w:eastAsia="zh-CN" w:bidi="th-TH"/>
              </w:rPr>
              <w:t xml:space="preserve"> 202</w:t>
            </w:r>
            <w:r w:rsidR="36C44A5F" w:rsidRPr="0B2DEDFC">
              <w:rPr>
                <w:rFonts w:cs="Arial"/>
                <w:b/>
                <w:bCs/>
                <w:color w:val="000000" w:themeColor="text1"/>
                <w:lang w:eastAsia="zh-CN" w:bidi="th-TH"/>
              </w:rPr>
              <w:t>4</w:t>
            </w:r>
            <w:r w:rsidRPr="0B2DEDFC">
              <w:rPr>
                <w:rFonts w:cs="Arial"/>
                <w:b/>
                <w:bCs/>
                <w:color w:val="000000" w:themeColor="text1"/>
                <w:lang w:eastAsia="zh-CN" w:bidi="th-TH"/>
              </w:rPr>
              <w:t>-</w:t>
            </w:r>
            <w:r w:rsidR="00E53295" w:rsidRPr="0B2DEDFC">
              <w:rPr>
                <w:rFonts w:cs="Arial"/>
                <w:b/>
                <w:bCs/>
                <w:color w:val="000000" w:themeColor="text1"/>
                <w:lang w:eastAsia="zh-CN" w:bidi="th-TH"/>
              </w:rPr>
              <w:t>2</w:t>
            </w:r>
            <w:r w:rsidR="00E53295">
              <w:rPr>
                <w:rFonts w:cs="Arial"/>
                <w:b/>
                <w:bCs/>
                <w:color w:val="000000" w:themeColor="text1"/>
                <w:lang w:eastAsia="zh-CN" w:bidi="th-TH"/>
              </w:rPr>
              <w:t>5</w:t>
            </w:r>
          </w:p>
        </w:tc>
      </w:tr>
      <w:tr w:rsidR="00212B87" w:rsidRPr="003A7C01" w14:paraId="1BFC2BEA" w14:textId="77777777" w:rsidTr="00B06DB4">
        <w:trPr>
          <w:cantSplit/>
          <w:trHeight w:val="322"/>
          <w:tblHeader/>
        </w:trPr>
        <w:tc>
          <w:tcPr>
            <w:tcW w:w="4422" w:type="dxa"/>
            <w:vMerge/>
            <w:vAlign w:val="center"/>
            <w:hideMark/>
          </w:tcPr>
          <w:p w14:paraId="36638015" w14:textId="77777777" w:rsidR="00212B87" w:rsidRPr="003A7C01" w:rsidRDefault="00212B87" w:rsidP="00417688">
            <w:pPr>
              <w:spacing w:after="0" w:line="240" w:lineRule="auto"/>
              <w:rPr>
                <w:rFonts w:cs="Arial"/>
                <w:b/>
                <w:bCs/>
                <w:color w:val="000000"/>
                <w:szCs w:val="22"/>
                <w:lang w:eastAsia="zh-CN" w:bidi="th-TH"/>
              </w:rPr>
            </w:pPr>
          </w:p>
        </w:tc>
        <w:tc>
          <w:tcPr>
            <w:tcW w:w="1811" w:type="dxa"/>
            <w:tcBorders>
              <w:top w:val="nil"/>
              <w:left w:val="single" w:sz="4" w:space="0" w:color="auto"/>
              <w:bottom w:val="single" w:sz="4" w:space="0" w:color="auto"/>
              <w:right w:val="single" w:sz="4" w:space="0" w:color="auto"/>
            </w:tcBorders>
            <w:shd w:val="clear" w:color="auto" w:fill="B59CC0"/>
            <w:vAlign w:val="center"/>
            <w:hideMark/>
          </w:tcPr>
          <w:p w14:paraId="223568EB" w14:textId="6253CC1A"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2023-24 </w:t>
            </w:r>
          </w:p>
        </w:tc>
        <w:tc>
          <w:tcPr>
            <w:tcW w:w="1811" w:type="dxa"/>
            <w:tcBorders>
              <w:top w:val="nil"/>
              <w:left w:val="nil"/>
              <w:bottom w:val="single" w:sz="4" w:space="0" w:color="auto"/>
              <w:right w:val="single" w:sz="4" w:space="0" w:color="auto"/>
            </w:tcBorders>
            <w:shd w:val="clear" w:color="auto" w:fill="B59CC0"/>
            <w:vAlign w:val="center"/>
            <w:hideMark/>
          </w:tcPr>
          <w:p w14:paraId="7606B731" w14:textId="69F14DDA"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w:t>
            </w:r>
            <w:r w:rsidR="00295BA9">
              <w:rPr>
                <w:rFonts w:cs="Arial"/>
                <w:b/>
                <w:bCs/>
                <w:color w:val="000000"/>
                <w:szCs w:val="22"/>
                <w:lang w:eastAsia="zh-CN" w:bidi="th-TH"/>
              </w:rPr>
              <w:t>4</w:t>
            </w:r>
            <w:r w:rsidRPr="003A7C01">
              <w:rPr>
                <w:rFonts w:cs="Arial"/>
                <w:b/>
                <w:bCs/>
                <w:color w:val="000000"/>
                <w:szCs w:val="22"/>
                <w:lang w:eastAsia="zh-CN" w:bidi="th-TH"/>
              </w:rPr>
              <w:t>-2</w:t>
            </w:r>
            <w:r w:rsidR="00295BA9">
              <w:rPr>
                <w:rFonts w:cs="Arial"/>
                <w:b/>
                <w:bCs/>
                <w:color w:val="000000"/>
                <w:szCs w:val="22"/>
                <w:lang w:eastAsia="zh-CN" w:bidi="th-TH"/>
              </w:rPr>
              <w:t>5</w:t>
            </w:r>
            <w:r w:rsidRPr="003A7C01">
              <w:rPr>
                <w:rFonts w:cs="Arial"/>
                <w:b/>
                <w:bCs/>
                <w:color w:val="000000"/>
                <w:szCs w:val="22"/>
                <w:lang w:eastAsia="zh-CN" w:bidi="th-TH"/>
              </w:rPr>
              <w:t> </w:t>
            </w:r>
          </w:p>
        </w:tc>
        <w:tc>
          <w:tcPr>
            <w:tcW w:w="1811" w:type="dxa"/>
            <w:tcBorders>
              <w:top w:val="nil"/>
              <w:left w:val="nil"/>
              <w:bottom w:val="single" w:sz="4" w:space="0" w:color="auto"/>
              <w:right w:val="single" w:sz="4" w:space="0" w:color="auto"/>
            </w:tcBorders>
            <w:shd w:val="clear" w:color="auto" w:fill="B59CC0"/>
            <w:vAlign w:val="center"/>
            <w:hideMark/>
          </w:tcPr>
          <w:p w14:paraId="7AAEB900"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295BA9" w:rsidRPr="003A7C01" w14:paraId="4F5BD51D" w14:textId="77777777" w:rsidTr="00B06DB4">
        <w:trPr>
          <w:cantSplit/>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342D6DAD" w14:textId="3429ED76" w:rsidR="00295BA9" w:rsidRPr="003A7C01" w:rsidRDefault="00295BA9" w:rsidP="00295BA9">
            <w:pPr>
              <w:spacing w:after="0" w:line="240" w:lineRule="auto"/>
              <w:rPr>
                <w:rFonts w:cs="Arial"/>
                <w:color w:val="000000"/>
                <w:szCs w:val="22"/>
                <w:lang w:eastAsia="zh-CN" w:bidi="th-TH"/>
              </w:rPr>
            </w:pPr>
            <w:r w:rsidRPr="003A7C01">
              <w:rPr>
                <w:rFonts w:cs="Arial"/>
                <w:color w:val="000000"/>
                <w:szCs w:val="22"/>
                <w:lang w:eastAsia="zh-CN" w:bidi="th-TH"/>
              </w:rPr>
              <w:t xml:space="preserve">Unique </w:t>
            </w:r>
            <w:r w:rsidR="00690B65">
              <w:rPr>
                <w:rFonts w:cs="Arial"/>
                <w:color w:val="000000"/>
                <w:szCs w:val="22"/>
                <w:lang w:eastAsia="zh-CN" w:bidi="th-TH"/>
              </w:rPr>
              <w:t>c</w:t>
            </w:r>
            <w:r w:rsidRPr="003A7C01">
              <w:rPr>
                <w:rFonts w:cs="Arial"/>
                <w:color w:val="000000"/>
                <w:szCs w:val="22"/>
                <w:lang w:eastAsia="zh-CN" w:bidi="th-TH"/>
              </w:rPr>
              <w:t>lients</w:t>
            </w:r>
            <w:r w:rsidRPr="003A7C01">
              <w:rPr>
                <w:rFonts w:cs="Arial"/>
                <w:color w:val="000000"/>
                <w:szCs w:val="22"/>
                <w:vertAlign w:val="superscript"/>
                <w:lang w:eastAsia="zh-CN" w:bidi="th-TH"/>
              </w:rPr>
              <w:t xml:space="preserve">1 </w:t>
            </w:r>
            <w:r w:rsidR="00710BBC">
              <w:rPr>
                <w:rStyle w:val="FootnoteReference"/>
                <w:rFonts w:cs="Arial"/>
                <w:color w:val="000000"/>
                <w:szCs w:val="22"/>
                <w:lang w:eastAsia="zh-CN" w:bidi="th-TH"/>
              </w:rPr>
              <w:footnoteReference w:id="2"/>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35B0A981" w14:textId="082D3CB3" w:rsidR="00295BA9" w:rsidRDefault="00295BA9" w:rsidP="00295BA9">
            <w:pPr>
              <w:spacing w:after="0" w:line="240" w:lineRule="auto"/>
              <w:jc w:val="center"/>
              <w:rPr>
                <w:rFonts w:cs="Arial"/>
                <w:color w:val="000000" w:themeColor="text1"/>
                <w:lang w:eastAsia="zh-CN" w:bidi="th-TH"/>
              </w:rPr>
            </w:pPr>
            <w:r w:rsidRPr="0B2DEDFC">
              <w:rPr>
                <w:rFonts w:cs="Arial"/>
                <w:color w:val="000000" w:themeColor="text1"/>
                <w:lang w:eastAsia="zh-CN" w:bidi="th-TH"/>
              </w:rPr>
              <w:t>14,963</w:t>
            </w:r>
          </w:p>
        </w:tc>
        <w:tc>
          <w:tcPr>
            <w:tcW w:w="18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AD6765E" w14:textId="4A7E42C5" w:rsidR="006B6E18" w:rsidRPr="007E5B6E" w:rsidRDefault="00AB144F" w:rsidP="006B6E18">
            <w:pPr>
              <w:spacing w:after="0" w:line="240" w:lineRule="auto"/>
              <w:jc w:val="center"/>
              <w:rPr>
                <w:rFonts w:cs="Arial"/>
                <w:color w:val="000000" w:themeColor="text1"/>
                <w:lang w:eastAsia="zh-CN" w:bidi="th-TH"/>
              </w:rPr>
            </w:pPr>
            <w:r>
              <w:rPr>
                <w:rFonts w:cs="Arial"/>
                <w:color w:val="000000" w:themeColor="text1"/>
                <w:lang w:eastAsia="zh-CN" w:bidi="th-TH"/>
              </w:rPr>
              <w:t>29,934</w:t>
            </w:r>
          </w:p>
        </w:tc>
        <w:tc>
          <w:tcPr>
            <w:tcW w:w="1811" w:type="dxa"/>
            <w:tcBorders>
              <w:top w:val="single" w:sz="4" w:space="0" w:color="auto"/>
              <w:left w:val="nil"/>
              <w:bottom w:val="single" w:sz="4" w:space="0" w:color="auto"/>
              <w:right w:val="single" w:sz="4" w:space="0" w:color="auto"/>
            </w:tcBorders>
            <w:shd w:val="clear" w:color="auto" w:fill="auto"/>
            <w:vAlign w:val="center"/>
          </w:tcPr>
          <w:p w14:paraId="6087A899" w14:textId="68D44BB1" w:rsidR="00295BA9" w:rsidRPr="003A7C01" w:rsidRDefault="00531846" w:rsidP="00295BA9">
            <w:pPr>
              <w:spacing w:after="0" w:line="240" w:lineRule="auto"/>
              <w:jc w:val="center"/>
              <w:rPr>
                <w:rFonts w:cs="Arial"/>
                <w:color w:val="000000"/>
                <w:lang w:eastAsia="zh-CN" w:bidi="th-TH"/>
              </w:rPr>
            </w:pPr>
            <w:r>
              <w:rPr>
                <w:rFonts w:cs="Arial"/>
                <w:color w:val="000000"/>
                <w:lang w:eastAsia="zh-CN" w:bidi="th-TH"/>
              </w:rPr>
              <w:t>25,220</w:t>
            </w:r>
          </w:p>
        </w:tc>
      </w:tr>
      <w:tr w:rsidR="00295BA9" w:rsidRPr="003A7C01" w14:paraId="277228E1" w14:textId="77777777" w:rsidTr="00B06DB4">
        <w:trPr>
          <w:cantSplit/>
          <w:trHeight w:val="820"/>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110BAA15" w14:textId="47314668" w:rsidR="00295BA9" w:rsidRPr="003A7C01" w:rsidRDefault="00295BA9" w:rsidP="00295BA9">
            <w:pPr>
              <w:spacing w:after="0" w:line="240" w:lineRule="auto"/>
              <w:rPr>
                <w:rFonts w:cs="Arial"/>
                <w:color w:val="000000"/>
                <w:szCs w:val="22"/>
                <w:lang w:eastAsia="zh-CN" w:bidi="th-TH"/>
              </w:rPr>
            </w:pPr>
            <w:r w:rsidRPr="003A7C01">
              <w:rPr>
                <w:rFonts w:cs="Arial"/>
                <w:color w:val="000000"/>
                <w:szCs w:val="22"/>
                <w:lang w:eastAsia="zh-CN" w:bidi="th-TH"/>
              </w:rPr>
              <w:t xml:space="preserve">Legal </w:t>
            </w:r>
            <w:r w:rsidR="00E81B46">
              <w:rPr>
                <w:rFonts w:cs="Arial"/>
                <w:color w:val="000000"/>
                <w:szCs w:val="22"/>
                <w:lang w:eastAsia="zh-CN" w:bidi="th-TH"/>
              </w:rPr>
              <w:t>a</w:t>
            </w:r>
            <w:r w:rsidRPr="003A7C01">
              <w:rPr>
                <w:rFonts w:cs="Arial"/>
                <w:color w:val="000000"/>
                <w:szCs w:val="22"/>
                <w:lang w:eastAsia="zh-CN" w:bidi="th-TH"/>
              </w:rPr>
              <w:t xml:space="preserve">dvice and </w:t>
            </w:r>
            <w:r w:rsidR="00E81B46">
              <w:rPr>
                <w:rFonts w:cs="Arial"/>
                <w:color w:val="000000"/>
                <w:szCs w:val="22"/>
                <w:lang w:eastAsia="zh-CN" w:bidi="th-TH"/>
              </w:rPr>
              <w:t>m</w:t>
            </w:r>
            <w:r w:rsidRPr="003A7C01">
              <w:rPr>
                <w:rFonts w:cs="Arial"/>
                <w:color w:val="000000"/>
                <w:szCs w:val="22"/>
                <w:lang w:eastAsia="zh-CN" w:bidi="th-TH"/>
              </w:rPr>
              <w:t xml:space="preserve">inor </w:t>
            </w:r>
            <w:r w:rsidR="00E81B46">
              <w:rPr>
                <w:rFonts w:cs="Arial"/>
                <w:color w:val="000000"/>
                <w:szCs w:val="22"/>
                <w:lang w:eastAsia="zh-CN" w:bidi="th-TH"/>
              </w:rPr>
              <w:t>assistanc</w:t>
            </w:r>
            <w:r w:rsidR="00BA74E1">
              <w:rPr>
                <w:rFonts w:cs="Arial"/>
                <w:color w:val="000000"/>
                <w:szCs w:val="22"/>
                <w:lang w:eastAsia="zh-CN" w:bidi="th-TH"/>
              </w:rPr>
              <w:t>e</w:t>
            </w:r>
          </w:p>
        </w:tc>
        <w:tc>
          <w:tcPr>
            <w:tcW w:w="1811" w:type="dxa"/>
            <w:tcBorders>
              <w:top w:val="nil"/>
              <w:left w:val="nil"/>
              <w:bottom w:val="single" w:sz="4" w:space="0" w:color="auto"/>
              <w:right w:val="single" w:sz="4" w:space="0" w:color="auto"/>
            </w:tcBorders>
            <w:shd w:val="clear" w:color="auto" w:fill="auto"/>
            <w:vAlign w:val="center"/>
            <w:hideMark/>
          </w:tcPr>
          <w:p w14:paraId="65814C25" w14:textId="4866E723" w:rsidR="00295BA9" w:rsidRDefault="00295BA9" w:rsidP="00295BA9">
            <w:pPr>
              <w:spacing w:after="0" w:line="240" w:lineRule="auto"/>
              <w:jc w:val="center"/>
              <w:rPr>
                <w:rFonts w:cs="Arial"/>
                <w:color w:val="000000" w:themeColor="text1"/>
                <w:lang w:eastAsia="zh-CN" w:bidi="th-TH"/>
              </w:rPr>
            </w:pPr>
            <w:r w:rsidRPr="0B2DEDFC">
              <w:rPr>
                <w:rFonts w:cs="Arial"/>
                <w:color w:val="000000" w:themeColor="text1"/>
                <w:lang w:eastAsia="zh-CN" w:bidi="th-TH"/>
              </w:rPr>
              <w:t>8,925</w:t>
            </w:r>
          </w:p>
        </w:tc>
        <w:tc>
          <w:tcPr>
            <w:tcW w:w="1811" w:type="dxa"/>
            <w:tcBorders>
              <w:top w:val="nil"/>
              <w:left w:val="nil"/>
              <w:bottom w:val="single" w:sz="4" w:space="0" w:color="auto"/>
              <w:right w:val="single" w:sz="4" w:space="0" w:color="auto"/>
            </w:tcBorders>
            <w:shd w:val="clear" w:color="auto" w:fill="D0CECE" w:themeFill="background2" w:themeFillShade="E6"/>
            <w:vAlign w:val="center"/>
          </w:tcPr>
          <w:p w14:paraId="1DB0781F" w14:textId="2EBDFE03" w:rsidR="00295BA9" w:rsidRPr="003A7C01" w:rsidRDefault="00FB386E" w:rsidP="00295BA9">
            <w:pPr>
              <w:spacing w:after="0" w:line="240" w:lineRule="auto"/>
              <w:jc w:val="center"/>
              <w:rPr>
                <w:rFonts w:cs="Arial"/>
                <w:color w:val="000000"/>
                <w:lang w:eastAsia="zh-CN" w:bidi="th-TH"/>
              </w:rPr>
            </w:pPr>
            <w:r>
              <w:rPr>
                <w:rFonts w:cs="Arial"/>
                <w:color w:val="000000" w:themeColor="text1"/>
                <w:lang w:eastAsia="zh-CN" w:bidi="th-TH"/>
              </w:rPr>
              <w:t>7,973</w:t>
            </w:r>
          </w:p>
        </w:tc>
        <w:tc>
          <w:tcPr>
            <w:tcW w:w="1811" w:type="dxa"/>
            <w:tcBorders>
              <w:top w:val="nil"/>
              <w:left w:val="nil"/>
              <w:bottom w:val="single" w:sz="4" w:space="0" w:color="auto"/>
              <w:right w:val="single" w:sz="4" w:space="0" w:color="auto"/>
            </w:tcBorders>
            <w:shd w:val="clear" w:color="auto" w:fill="auto"/>
            <w:vAlign w:val="center"/>
          </w:tcPr>
          <w:p w14:paraId="15FD09EB" w14:textId="49C679D4" w:rsidR="00295BA9" w:rsidRPr="003A7C01" w:rsidRDefault="00531846" w:rsidP="00295BA9">
            <w:pPr>
              <w:spacing w:after="0" w:line="240" w:lineRule="auto"/>
              <w:jc w:val="center"/>
              <w:rPr>
                <w:rFonts w:cs="Arial"/>
                <w:color w:val="000000"/>
                <w:lang w:eastAsia="zh-CN" w:bidi="th-TH"/>
              </w:rPr>
            </w:pPr>
            <w:r>
              <w:rPr>
                <w:rFonts w:cs="Arial"/>
                <w:color w:val="000000"/>
                <w:lang w:eastAsia="zh-CN" w:bidi="th-TH"/>
              </w:rPr>
              <w:t>8,884</w:t>
            </w:r>
          </w:p>
        </w:tc>
      </w:tr>
      <w:tr w:rsidR="00295BA9" w:rsidRPr="003A7C01" w14:paraId="0E902E79" w14:textId="77777777" w:rsidTr="00B06DB4">
        <w:trPr>
          <w:cantSplit/>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61971588" w14:textId="54A50E5E" w:rsidR="00295BA9" w:rsidRPr="003A7C01" w:rsidRDefault="00295BA9" w:rsidP="00295BA9">
            <w:pPr>
              <w:spacing w:after="0" w:line="240" w:lineRule="auto"/>
              <w:rPr>
                <w:rFonts w:cs="Arial"/>
                <w:color w:val="000000"/>
                <w:lang w:eastAsia="zh-CN" w:bidi="th-TH"/>
              </w:rPr>
            </w:pPr>
            <w:r w:rsidRPr="0B2DEDFC">
              <w:rPr>
                <w:rFonts w:cs="Arial"/>
                <w:color w:val="000000" w:themeColor="text1"/>
                <w:lang w:eastAsia="zh-CN" w:bidi="th-TH"/>
              </w:rPr>
              <w:t xml:space="preserve">Duty </w:t>
            </w:r>
            <w:r w:rsidR="00BA74E1">
              <w:rPr>
                <w:rFonts w:cs="Arial"/>
                <w:color w:val="000000" w:themeColor="text1"/>
                <w:lang w:eastAsia="zh-CN" w:bidi="th-TH"/>
              </w:rPr>
              <w:t>l</w:t>
            </w:r>
            <w:r w:rsidRPr="0B2DEDFC">
              <w:rPr>
                <w:rFonts w:cs="Arial"/>
                <w:color w:val="000000" w:themeColor="text1"/>
                <w:lang w:eastAsia="zh-CN" w:bidi="th-TH"/>
              </w:rPr>
              <w:t xml:space="preserve">awyer </w:t>
            </w:r>
            <w:r w:rsidR="00BA74E1">
              <w:rPr>
                <w:rFonts w:cs="Arial"/>
                <w:color w:val="000000" w:themeColor="text1"/>
                <w:lang w:eastAsia="zh-CN" w:bidi="th-TH"/>
              </w:rPr>
              <w:t>s</w:t>
            </w:r>
            <w:r w:rsidRPr="0B2DEDFC">
              <w:rPr>
                <w:rFonts w:cs="Arial"/>
                <w:color w:val="000000" w:themeColor="text1"/>
                <w:lang w:eastAsia="zh-CN" w:bidi="th-TH"/>
              </w:rPr>
              <w:t>ervices</w:t>
            </w:r>
          </w:p>
        </w:tc>
        <w:tc>
          <w:tcPr>
            <w:tcW w:w="1811" w:type="dxa"/>
            <w:tcBorders>
              <w:top w:val="nil"/>
              <w:left w:val="nil"/>
              <w:bottom w:val="single" w:sz="4" w:space="0" w:color="auto"/>
              <w:right w:val="single" w:sz="4" w:space="0" w:color="auto"/>
            </w:tcBorders>
            <w:shd w:val="clear" w:color="auto" w:fill="auto"/>
            <w:vAlign w:val="center"/>
            <w:hideMark/>
          </w:tcPr>
          <w:p w14:paraId="55ADB450" w14:textId="5B251652" w:rsidR="00295BA9" w:rsidRDefault="00295BA9" w:rsidP="00295BA9">
            <w:pPr>
              <w:spacing w:after="0" w:line="240" w:lineRule="auto"/>
              <w:jc w:val="center"/>
              <w:rPr>
                <w:rFonts w:cs="Arial"/>
                <w:color w:val="000000" w:themeColor="text1"/>
                <w:lang w:eastAsia="zh-CN" w:bidi="th-TH"/>
              </w:rPr>
            </w:pPr>
            <w:r w:rsidRPr="0B2DEDFC">
              <w:rPr>
                <w:rFonts w:cs="Arial"/>
                <w:color w:val="000000" w:themeColor="text1"/>
                <w:lang w:eastAsia="zh-CN" w:bidi="th-TH"/>
              </w:rPr>
              <w:t>23,943</w:t>
            </w:r>
          </w:p>
        </w:tc>
        <w:tc>
          <w:tcPr>
            <w:tcW w:w="1811" w:type="dxa"/>
            <w:tcBorders>
              <w:top w:val="nil"/>
              <w:left w:val="nil"/>
              <w:bottom w:val="single" w:sz="4" w:space="0" w:color="auto"/>
              <w:right w:val="single" w:sz="4" w:space="0" w:color="auto"/>
            </w:tcBorders>
            <w:shd w:val="clear" w:color="auto" w:fill="D0CECE" w:themeFill="background2" w:themeFillShade="E6"/>
            <w:vAlign w:val="center"/>
          </w:tcPr>
          <w:p w14:paraId="39EB8FFB" w14:textId="38D63064" w:rsidR="00295BA9" w:rsidRPr="003A7C01" w:rsidRDefault="00955863" w:rsidP="00295BA9">
            <w:pPr>
              <w:spacing w:after="0" w:line="240" w:lineRule="auto"/>
              <w:jc w:val="center"/>
              <w:rPr>
                <w:rFonts w:cs="Arial"/>
                <w:color w:val="000000"/>
                <w:lang w:eastAsia="zh-CN" w:bidi="th-TH"/>
              </w:rPr>
            </w:pPr>
            <w:r>
              <w:rPr>
                <w:rFonts w:cs="Arial"/>
                <w:color w:val="000000" w:themeColor="text1"/>
                <w:lang w:eastAsia="zh-CN" w:bidi="th-TH"/>
              </w:rPr>
              <w:t>21,057</w:t>
            </w:r>
          </w:p>
        </w:tc>
        <w:tc>
          <w:tcPr>
            <w:tcW w:w="1811" w:type="dxa"/>
            <w:tcBorders>
              <w:top w:val="nil"/>
              <w:left w:val="nil"/>
              <w:bottom w:val="single" w:sz="4" w:space="0" w:color="auto"/>
              <w:right w:val="single" w:sz="4" w:space="0" w:color="auto"/>
            </w:tcBorders>
            <w:shd w:val="clear" w:color="auto" w:fill="auto"/>
            <w:vAlign w:val="center"/>
          </w:tcPr>
          <w:p w14:paraId="1CFF709E" w14:textId="0C0B35B0" w:rsidR="00295BA9" w:rsidRPr="003A7C01" w:rsidRDefault="00531846" w:rsidP="00295BA9">
            <w:pPr>
              <w:spacing w:after="0" w:line="240" w:lineRule="auto"/>
              <w:jc w:val="center"/>
              <w:rPr>
                <w:rFonts w:cs="Arial"/>
                <w:color w:val="000000"/>
                <w:lang w:eastAsia="zh-CN" w:bidi="th-TH"/>
              </w:rPr>
            </w:pPr>
            <w:r>
              <w:rPr>
                <w:rFonts w:cs="Arial"/>
                <w:color w:val="000000"/>
                <w:lang w:eastAsia="zh-CN" w:bidi="th-TH"/>
              </w:rPr>
              <w:t>22,140</w:t>
            </w:r>
          </w:p>
        </w:tc>
      </w:tr>
      <w:tr w:rsidR="00295BA9" w:rsidRPr="003A7C01" w14:paraId="3329506D" w14:textId="77777777" w:rsidTr="00B06DB4">
        <w:trPr>
          <w:cantSplit/>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4C539FF6" w14:textId="0A0E63B1" w:rsidR="00295BA9" w:rsidRPr="003A7C01" w:rsidRDefault="00295BA9" w:rsidP="00295BA9">
            <w:pPr>
              <w:spacing w:after="0" w:line="240" w:lineRule="auto"/>
              <w:rPr>
                <w:rFonts w:cs="Arial"/>
                <w:color w:val="000000"/>
                <w:szCs w:val="22"/>
                <w:lang w:eastAsia="zh-CN" w:bidi="th-TH"/>
              </w:rPr>
            </w:pPr>
            <w:r w:rsidRPr="003A7C01">
              <w:rPr>
                <w:rFonts w:cs="Arial"/>
                <w:color w:val="000000"/>
                <w:szCs w:val="22"/>
                <w:lang w:eastAsia="zh-CN" w:bidi="th-TH"/>
              </w:rPr>
              <w:t xml:space="preserve">Grants of </w:t>
            </w:r>
            <w:r w:rsidR="00BA74E1">
              <w:rPr>
                <w:rFonts w:cs="Arial"/>
                <w:color w:val="000000"/>
                <w:szCs w:val="22"/>
                <w:lang w:eastAsia="zh-CN" w:bidi="th-TH"/>
              </w:rPr>
              <w:t>l</w:t>
            </w:r>
            <w:r w:rsidRPr="003A7C01">
              <w:rPr>
                <w:rFonts w:cs="Arial"/>
                <w:color w:val="000000"/>
                <w:szCs w:val="22"/>
                <w:lang w:eastAsia="zh-CN" w:bidi="th-TH"/>
              </w:rPr>
              <w:t xml:space="preserve">egal </w:t>
            </w:r>
            <w:r w:rsidR="00BA74E1">
              <w:rPr>
                <w:rFonts w:cs="Arial"/>
                <w:color w:val="000000"/>
                <w:szCs w:val="22"/>
                <w:lang w:eastAsia="zh-CN" w:bidi="th-TH"/>
              </w:rPr>
              <w:t>a</w:t>
            </w:r>
            <w:r w:rsidRPr="003A7C01">
              <w:rPr>
                <w:rFonts w:cs="Arial"/>
                <w:color w:val="000000"/>
                <w:szCs w:val="22"/>
                <w:lang w:eastAsia="zh-CN" w:bidi="th-TH"/>
              </w:rPr>
              <w:t>ssistance </w:t>
            </w:r>
          </w:p>
        </w:tc>
        <w:tc>
          <w:tcPr>
            <w:tcW w:w="1811" w:type="dxa"/>
            <w:tcBorders>
              <w:top w:val="nil"/>
              <w:left w:val="nil"/>
              <w:bottom w:val="single" w:sz="4" w:space="0" w:color="auto"/>
              <w:right w:val="single" w:sz="4" w:space="0" w:color="auto"/>
            </w:tcBorders>
            <w:shd w:val="clear" w:color="auto" w:fill="auto"/>
            <w:vAlign w:val="center"/>
            <w:hideMark/>
          </w:tcPr>
          <w:p w14:paraId="14349D1C" w14:textId="651345D4" w:rsidR="00295BA9" w:rsidRDefault="00295BA9" w:rsidP="00295BA9">
            <w:pPr>
              <w:spacing w:after="0" w:line="240" w:lineRule="auto"/>
              <w:jc w:val="center"/>
              <w:rPr>
                <w:rFonts w:cs="Arial"/>
                <w:color w:val="000000" w:themeColor="text1"/>
                <w:lang w:eastAsia="zh-CN" w:bidi="th-TH"/>
              </w:rPr>
            </w:pPr>
            <w:r w:rsidRPr="0B2DEDFC">
              <w:rPr>
                <w:rFonts w:cs="Arial"/>
                <w:color w:val="000000" w:themeColor="text1"/>
                <w:lang w:eastAsia="zh-CN" w:bidi="th-TH"/>
              </w:rPr>
              <w:t>10,480</w:t>
            </w:r>
          </w:p>
        </w:tc>
        <w:tc>
          <w:tcPr>
            <w:tcW w:w="1811" w:type="dxa"/>
            <w:tcBorders>
              <w:top w:val="nil"/>
              <w:left w:val="nil"/>
              <w:bottom w:val="single" w:sz="4" w:space="0" w:color="auto"/>
              <w:right w:val="single" w:sz="4" w:space="0" w:color="auto"/>
            </w:tcBorders>
            <w:shd w:val="clear" w:color="auto" w:fill="D0CECE" w:themeFill="background2" w:themeFillShade="E6"/>
            <w:vAlign w:val="center"/>
          </w:tcPr>
          <w:p w14:paraId="2B8C5012" w14:textId="2F6ACFA0" w:rsidR="00295BA9" w:rsidRPr="003A7C01" w:rsidRDefault="00955863" w:rsidP="00295BA9">
            <w:pPr>
              <w:spacing w:after="0" w:line="240" w:lineRule="auto"/>
              <w:jc w:val="center"/>
              <w:rPr>
                <w:rFonts w:cs="Arial"/>
                <w:color w:val="000000"/>
                <w:lang w:eastAsia="zh-CN" w:bidi="th-TH"/>
              </w:rPr>
            </w:pPr>
            <w:r>
              <w:rPr>
                <w:rFonts w:cs="Arial"/>
                <w:color w:val="000000" w:themeColor="text1"/>
                <w:lang w:eastAsia="zh-CN" w:bidi="th-TH"/>
              </w:rPr>
              <w:t>10,052</w:t>
            </w:r>
          </w:p>
        </w:tc>
        <w:tc>
          <w:tcPr>
            <w:tcW w:w="1811" w:type="dxa"/>
            <w:tcBorders>
              <w:top w:val="nil"/>
              <w:left w:val="nil"/>
              <w:bottom w:val="single" w:sz="4" w:space="0" w:color="auto"/>
              <w:right w:val="single" w:sz="4" w:space="0" w:color="auto"/>
            </w:tcBorders>
            <w:shd w:val="clear" w:color="auto" w:fill="auto"/>
            <w:vAlign w:val="center"/>
          </w:tcPr>
          <w:p w14:paraId="40E88454" w14:textId="2FABFF66" w:rsidR="00295BA9" w:rsidRPr="003A7C01" w:rsidRDefault="00C94930" w:rsidP="00295BA9">
            <w:pPr>
              <w:spacing w:after="0" w:line="240" w:lineRule="auto"/>
              <w:jc w:val="center"/>
              <w:rPr>
                <w:rFonts w:cs="Arial"/>
                <w:color w:val="000000"/>
                <w:lang w:eastAsia="zh-CN" w:bidi="th-TH"/>
              </w:rPr>
            </w:pPr>
            <w:r>
              <w:rPr>
                <w:rFonts w:cs="Arial"/>
                <w:color w:val="000000"/>
                <w:lang w:eastAsia="zh-CN" w:bidi="th-TH"/>
              </w:rPr>
              <w:t>10,010</w:t>
            </w:r>
          </w:p>
        </w:tc>
      </w:tr>
    </w:tbl>
    <w:p w14:paraId="6521243A" w14:textId="62CAFBA0" w:rsidR="004665D1" w:rsidRPr="004665D1" w:rsidRDefault="004665D1" w:rsidP="006663C9">
      <w:pPr>
        <w:pStyle w:val="Heading2"/>
      </w:pPr>
      <w:r w:rsidRPr="004665D1">
        <w:lastRenderedPageBreak/>
        <w:t>Community information and education services</w:t>
      </w:r>
    </w:p>
    <w:p w14:paraId="0F07D762" w14:textId="1AE77992" w:rsidR="00ED0806" w:rsidRDefault="00DB7010" w:rsidP="00242208">
      <w:r>
        <w:t>Our</w:t>
      </w:r>
      <w:r w:rsidR="005870F7" w:rsidRPr="005870F7">
        <w:t xml:space="preserve"> Legal Help phone line and webchat </w:t>
      </w:r>
      <w:r w:rsidR="00453BD1">
        <w:t xml:space="preserve">service </w:t>
      </w:r>
      <w:r w:rsidR="005870F7" w:rsidRPr="005870F7">
        <w:t>remain</w:t>
      </w:r>
      <w:r>
        <w:t>s the</w:t>
      </w:r>
      <w:r w:rsidR="005870F7" w:rsidRPr="005870F7">
        <w:t xml:space="preserve"> key entry point for Victorians seeking legal assistance.</w:t>
      </w:r>
      <w:r w:rsidR="00AB4B5B">
        <w:t xml:space="preserve"> The Legal Help team</w:t>
      </w:r>
      <w:r w:rsidR="0010544B">
        <w:t xml:space="preserve"> experience</w:t>
      </w:r>
      <w:r w:rsidR="00753BA0">
        <w:t>d</w:t>
      </w:r>
      <w:r w:rsidR="0010544B">
        <w:t xml:space="preserve"> </w:t>
      </w:r>
      <w:r w:rsidR="00764277">
        <w:t>higher demand during the quarter</w:t>
      </w:r>
      <w:r w:rsidR="009D7BB2">
        <w:t xml:space="preserve"> especially through the webchat channel. </w:t>
      </w:r>
      <w:r w:rsidR="0010038C">
        <w:t>Recent recruitment</w:t>
      </w:r>
      <w:r w:rsidR="00A06651">
        <w:t xml:space="preserve"> </w:t>
      </w:r>
      <w:r w:rsidR="0010038C">
        <w:t>helped to service this</w:t>
      </w:r>
      <w:r w:rsidR="00D44AA8">
        <w:t xml:space="preserve"> increased</w:t>
      </w:r>
      <w:r w:rsidR="0010038C">
        <w:t xml:space="preserve"> demand</w:t>
      </w:r>
      <w:r w:rsidR="00D44AA8">
        <w:t xml:space="preserve">, with the </w:t>
      </w:r>
      <w:r w:rsidR="00212B87" w:rsidRPr="006247D1">
        <w:t>number of Legal Help sessions</w:t>
      </w:r>
      <w:r w:rsidR="00D44AA8">
        <w:t xml:space="preserve"> delivered</w:t>
      </w:r>
      <w:r w:rsidR="00212B87" w:rsidRPr="006247D1">
        <w:t xml:space="preserve"> </w:t>
      </w:r>
      <w:r w:rsidR="0025136D">
        <w:t>increas</w:t>
      </w:r>
      <w:r w:rsidR="00D44AA8">
        <w:t xml:space="preserve">ing </w:t>
      </w:r>
      <w:r w:rsidR="00625E04" w:rsidRPr="006247D1">
        <w:t xml:space="preserve">by </w:t>
      </w:r>
      <w:r w:rsidR="004744DC">
        <w:t>7</w:t>
      </w:r>
      <w:r w:rsidR="00625E04" w:rsidRPr="006247D1">
        <w:t xml:space="preserve"> per</w:t>
      </w:r>
      <w:r w:rsidR="004E2729">
        <w:t xml:space="preserve"> </w:t>
      </w:r>
      <w:r w:rsidR="00625E04" w:rsidRPr="006247D1">
        <w:t>cent</w:t>
      </w:r>
      <w:r w:rsidR="00A23E3D" w:rsidRPr="006247D1">
        <w:t xml:space="preserve"> from last quarter</w:t>
      </w:r>
      <w:r w:rsidR="00C14050">
        <w:t xml:space="preserve"> (Table 1.2)</w:t>
      </w:r>
      <w:r w:rsidR="00D44AA8">
        <w:t xml:space="preserve">. </w:t>
      </w:r>
      <w:r w:rsidR="00856960">
        <w:t xml:space="preserve">Short-term work to modernise our Legal Help service </w:t>
      </w:r>
      <w:r w:rsidR="007759AF">
        <w:t>continued during the quarter</w:t>
      </w:r>
      <w:r w:rsidR="008E60F2">
        <w:t xml:space="preserve">, </w:t>
      </w:r>
      <w:r w:rsidR="00BD5BC4">
        <w:t xml:space="preserve">which contributed to a higher combined wait time </w:t>
      </w:r>
      <w:r w:rsidR="00713935">
        <w:t xml:space="preserve">than last quarter (Table 1.2) </w:t>
      </w:r>
      <w:r w:rsidR="00316193">
        <w:t>but</w:t>
      </w:r>
      <w:r w:rsidR="00753BA0">
        <w:t xml:space="preserve"> </w:t>
      </w:r>
      <w:r w:rsidR="007A6CEF">
        <w:t xml:space="preserve">still </w:t>
      </w:r>
      <w:r w:rsidR="00242208">
        <w:t>within</w:t>
      </w:r>
      <w:r w:rsidR="007A6CEF">
        <w:t xml:space="preserve"> </w:t>
      </w:r>
      <w:r w:rsidR="00562642">
        <w:t>our external performance target</w:t>
      </w:r>
      <w:r w:rsidR="00971218" w:rsidRPr="006247D1">
        <w:t>.</w:t>
      </w:r>
      <w:r w:rsidR="00B4218B">
        <w:t xml:space="preserve"> Work to modernise the Legal Help service </w:t>
      </w:r>
      <w:r w:rsidR="002B4DF9">
        <w:t>will</w:t>
      </w:r>
      <w:r w:rsidR="00B4218B">
        <w:t xml:space="preserve"> continue into the next quarter, </w:t>
      </w:r>
      <w:r w:rsidR="007F1A07">
        <w:t xml:space="preserve">resulting in </w:t>
      </w:r>
      <w:r w:rsidR="002B4DF9">
        <w:t xml:space="preserve">some </w:t>
      </w:r>
      <w:r w:rsidR="007F1A07">
        <w:t xml:space="preserve">further disruptions to our service.  </w:t>
      </w:r>
    </w:p>
    <w:p w14:paraId="142CFB90" w14:textId="3D2FA71D" w:rsidR="005870F7" w:rsidRDefault="002B4DF9" w:rsidP="005870F7">
      <w:r>
        <w:t>Beyond</w:t>
      </w:r>
      <w:r w:rsidR="005870F7">
        <w:t xml:space="preserve"> Legal Help, we also delivered </w:t>
      </w:r>
      <w:r w:rsidR="005B3C63">
        <w:t>1,648</w:t>
      </w:r>
      <w:r w:rsidR="002D748B">
        <w:t xml:space="preserve"> </w:t>
      </w:r>
      <w:r w:rsidR="005870F7">
        <w:t>information sessions</w:t>
      </w:r>
      <w:r w:rsidR="00C51D98">
        <w:t>.</w:t>
      </w:r>
      <w:r w:rsidR="00AF590D">
        <w:t xml:space="preserve"> </w:t>
      </w:r>
      <w:r w:rsidR="005870F7">
        <w:t xml:space="preserve">These were mainly provided face-to-face at our offices or through </w:t>
      </w:r>
      <w:r w:rsidR="008018C2">
        <w:t xml:space="preserve">our </w:t>
      </w:r>
      <w:r w:rsidR="005870F7">
        <w:t>Help Before Court</w:t>
      </w:r>
      <w:r w:rsidR="00F15298">
        <w:t xml:space="preserve"> service</w:t>
      </w:r>
      <w:r w:rsidR="005870F7">
        <w:t>.</w:t>
      </w:r>
    </w:p>
    <w:p w14:paraId="223EA5E5" w14:textId="5041D49F" w:rsidR="00B7718D" w:rsidRDefault="007356DB" w:rsidP="00F87941">
      <w:bookmarkStart w:id="1" w:name="_Hlk164245268"/>
      <w:r>
        <w:t>VLA</w:t>
      </w:r>
      <w:r w:rsidRPr="00F87941">
        <w:t xml:space="preserve"> </w:t>
      </w:r>
      <w:r w:rsidR="00B51EB5">
        <w:t xml:space="preserve">delivered </w:t>
      </w:r>
      <w:r w:rsidR="001B5FDA">
        <w:t>35</w:t>
      </w:r>
      <w:r w:rsidR="00733C20" w:rsidRPr="00F87941">
        <w:t xml:space="preserve"> </w:t>
      </w:r>
      <w:r w:rsidR="00212B87" w:rsidRPr="00F87941">
        <w:t>Community Legal Education sessions (Table 1.2)</w:t>
      </w:r>
      <w:r w:rsidR="00092107" w:rsidRPr="00F87941">
        <w:t xml:space="preserve"> </w:t>
      </w:r>
      <w:r w:rsidR="00046488">
        <w:t xml:space="preserve">in quarter </w:t>
      </w:r>
      <w:r w:rsidR="00B51EB5">
        <w:t>one. W</w:t>
      </w:r>
      <w:r w:rsidR="001E6CD7">
        <w:t xml:space="preserve">hile </w:t>
      </w:r>
      <w:r w:rsidR="00984825">
        <w:t>it</w:t>
      </w:r>
      <w:r w:rsidR="00B51EB5">
        <w:t xml:space="preserve"> had</w:t>
      </w:r>
      <w:r w:rsidR="00984825">
        <w:t xml:space="preserve"> been</w:t>
      </w:r>
      <w:r w:rsidR="00872344">
        <w:t xml:space="preserve"> anticipated </w:t>
      </w:r>
      <w:r w:rsidR="00B51EB5">
        <w:t xml:space="preserve">that </w:t>
      </w:r>
      <w:r w:rsidR="00F2171C">
        <w:t xml:space="preserve">fewer </w:t>
      </w:r>
      <w:r w:rsidR="00F2171C" w:rsidRPr="00F87941">
        <w:t>sessions</w:t>
      </w:r>
      <w:r w:rsidR="00F2171C">
        <w:t xml:space="preserve"> </w:t>
      </w:r>
      <w:r w:rsidR="00D91F57">
        <w:t>would</w:t>
      </w:r>
      <w:r w:rsidR="00F2171C">
        <w:t xml:space="preserve"> be delivered</w:t>
      </w:r>
      <w:r w:rsidR="00F2171C" w:rsidRPr="00F87941">
        <w:t xml:space="preserve"> </w:t>
      </w:r>
      <w:r w:rsidR="009F216F">
        <w:t>because of</w:t>
      </w:r>
      <w:r w:rsidR="00F2171C">
        <w:t xml:space="preserve"> </w:t>
      </w:r>
      <w:r w:rsidR="007D29DC">
        <w:t xml:space="preserve">higher </w:t>
      </w:r>
      <w:r w:rsidR="00F2171C" w:rsidRPr="00F87941">
        <w:t>staff</w:t>
      </w:r>
      <w:r w:rsidR="007D29DC">
        <w:t xml:space="preserve"> vacancies</w:t>
      </w:r>
      <w:r w:rsidR="00D91F57">
        <w:t>, the result was higher than expected</w:t>
      </w:r>
      <w:r w:rsidR="00076C5A">
        <w:t xml:space="preserve"> due to </w:t>
      </w:r>
      <w:r w:rsidR="00B7718D">
        <w:t>more sessions being booked at</w:t>
      </w:r>
      <w:r w:rsidR="005237E3">
        <w:t xml:space="preserve"> </w:t>
      </w:r>
      <w:r w:rsidR="001E37CF">
        <w:t xml:space="preserve">various </w:t>
      </w:r>
      <w:r w:rsidR="005237E3">
        <w:t xml:space="preserve">secondary schools. </w:t>
      </w:r>
    </w:p>
    <w:bookmarkEnd w:id="1"/>
    <w:p w14:paraId="3465B0CB" w14:textId="07E8EA73" w:rsidR="00212B87" w:rsidRPr="001623E2" w:rsidRDefault="00680813" w:rsidP="0B2DEDFC">
      <w:pPr>
        <w:rPr>
          <w:rFonts w:cs="Arial"/>
        </w:rPr>
      </w:pPr>
      <w:r>
        <w:rPr>
          <w:rFonts w:cs="Arial"/>
        </w:rPr>
        <w:t>‘</w:t>
      </w:r>
      <w:r w:rsidR="00212B87" w:rsidRPr="0B2DEDFC">
        <w:rPr>
          <w:rFonts w:cs="Arial"/>
        </w:rPr>
        <w:t>Engaged sessions of legal information website pages</w:t>
      </w:r>
      <w:r>
        <w:rPr>
          <w:rFonts w:cs="Arial"/>
        </w:rPr>
        <w:t>’</w:t>
      </w:r>
      <w:r w:rsidR="00A842EB">
        <w:rPr>
          <w:rFonts w:cs="Arial"/>
        </w:rPr>
        <w:t xml:space="preserve"> </w:t>
      </w:r>
      <w:r w:rsidR="00A842EB">
        <w:t>i</w:t>
      </w:r>
      <w:r w:rsidR="00212B87">
        <w:t>ncrease</w:t>
      </w:r>
      <w:r w:rsidR="00A842EB">
        <w:t xml:space="preserve">d by </w:t>
      </w:r>
      <w:r w:rsidR="0038369E">
        <w:t xml:space="preserve">3 </w:t>
      </w:r>
      <w:r w:rsidR="00212B87">
        <w:t>per</w:t>
      </w:r>
      <w:r w:rsidR="00221939">
        <w:t xml:space="preserve"> </w:t>
      </w:r>
      <w:r w:rsidR="00212B87">
        <w:t>cent from</w:t>
      </w:r>
      <w:r w:rsidR="00BC1593">
        <w:t xml:space="preserve"> </w:t>
      </w:r>
      <w:r w:rsidR="00C37D86">
        <w:t>last quarter</w:t>
      </w:r>
      <w:r w:rsidR="00A842EB">
        <w:t xml:space="preserve"> (Table 1.2)</w:t>
      </w:r>
      <w:r w:rsidR="00A23E3D">
        <w:t xml:space="preserve">. There </w:t>
      </w:r>
      <w:r w:rsidR="00212B87" w:rsidRPr="0B2DEDFC">
        <w:rPr>
          <w:rFonts w:cs="Arial"/>
        </w:rPr>
        <w:t xml:space="preserve">is not </w:t>
      </w:r>
      <w:r>
        <w:rPr>
          <w:rFonts w:cs="Arial"/>
        </w:rPr>
        <w:t xml:space="preserve">yet </w:t>
      </w:r>
      <w:r w:rsidR="00212B87" w:rsidRPr="0B2DEDFC">
        <w:rPr>
          <w:rFonts w:cs="Arial"/>
        </w:rPr>
        <w:t xml:space="preserve">enough historical data available </w:t>
      </w:r>
      <w:r w:rsidR="00502385">
        <w:rPr>
          <w:rFonts w:cs="Arial"/>
        </w:rPr>
        <w:t xml:space="preserve">to make quarterly projections </w:t>
      </w:r>
      <w:r w:rsidR="00212B87" w:rsidRPr="0B2DEDFC">
        <w:rPr>
          <w:rFonts w:cs="Arial"/>
        </w:rPr>
        <w:t>for this</w:t>
      </w:r>
      <w:r w:rsidR="00C33570">
        <w:rPr>
          <w:rFonts w:cs="Arial"/>
        </w:rPr>
        <w:t xml:space="preserve"> relatively</w:t>
      </w:r>
      <w:r w:rsidR="00212B87" w:rsidRPr="0B2DEDFC">
        <w:rPr>
          <w:rFonts w:cs="Arial"/>
        </w:rPr>
        <w:t xml:space="preserve"> new</w:t>
      </w:r>
      <w:r w:rsidR="00DB5C6C">
        <w:rPr>
          <w:rFonts w:cs="Arial"/>
        </w:rPr>
        <w:t xml:space="preserve"> performance</w:t>
      </w:r>
      <w:r w:rsidR="00212B87" w:rsidRPr="0B2DEDFC">
        <w:rPr>
          <w:rFonts w:cs="Arial"/>
        </w:rPr>
        <w:t xml:space="preserve"> measure</w:t>
      </w:r>
      <w:r w:rsidR="00502385">
        <w:rPr>
          <w:rFonts w:cs="Arial"/>
        </w:rPr>
        <w:t>.</w:t>
      </w:r>
    </w:p>
    <w:p w14:paraId="3C3C18BD" w14:textId="77777777" w:rsidR="00212B87" w:rsidRDefault="00212B87" w:rsidP="006663C9">
      <w:pPr>
        <w:pStyle w:val="Tableheader"/>
      </w:pPr>
      <w:r w:rsidRPr="00742E79">
        <w:t>Table 1.</w:t>
      </w:r>
      <w:r>
        <w:t>2</w:t>
      </w:r>
      <w:r w:rsidRPr="00742E79">
        <w:t xml:space="preserve"> Community information and education services</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1638"/>
        <w:gridCol w:w="1638"/>
        <w:gridCol w:w="1638"/>
      </w:tblGrid>
      <w:tr w:rsidR="007D0510" w:rsidRPr="003A7C01" w14:paraId="6105E9B1" w14:textId="77777777" w:rsidTr="00B06DB4">
        <w:trPr>
          <w:cantSplit/>
          <w:trHeight w:val="347"/>
          <w:tblHeader/>
        </w:trPr>
        <w:tc>
          <w:tcPr>
            <w:tcW w:w="4873" w:type="dxa"/>
            <w:vMerge w:val="restart"/>
            <w:shd w:val="clear" w:color="auto" w:fill="B59CC0"/>
            <w:vAlign w:val="center"/>
            <w:hideMark/>
          </w:tcPr>
          <w:p w14:paraId="26189585" w14:textId="6EAEE4C5" w:rsidR="007D0510" w:rsidRPr="003A7C01" w:rsidRDefault="00FA12A3" w:rsidP="00417688">
            <w:pPr>
              <w:rPr>
                <w:rFonts w:cs="Arial"/>
                <w:b/>
                <w:bCs/>
                <w:color w:val="000000"/>
                <w:szCs w:val="22"/>
                <w:lang w:eastAsia="zh-CN" w:bidi="th-TH"/>
              </w:rPr>
            </w:pPr>
            <w:r>
              <w:rPr>
                <w:rFonts w:cs="Arial"/>
                <w:b/>
                <w:bCs/>
                <w:color w:val="000000"/>
                <w:szCs w:val="22"/>
                <w:lang w:eastAsia="zh-CN" w:bidi="th-TH"/>
              </w:rPr>
              <w:t>S</w:t>
            </w:r>
            <w:r w:rsidR="007D0510" w:rsidRPr="003A7C01">
              <w:rPr>
                <w:rFonts w:cs="Arial"/>
                <w:b/>
                <w:bCs/>
                <w:color w:val="000000"/>
                <w:szCs w:val="22"/>
                <w:lang w:eastAsia="zh-CN" w:bidi="th-TH"/>
              </w:rPr>
              <w:t>ervices  </w:t>
            </w:r>
          </w:p>
        </w:tc>
        <w:tc>
          <w:tcPr>
            <w:tcW w:w="1638" w:type="dxa"/>
            <w:tcBorders>
              <w:bottom w:val="nil"/>
            </w:tcBorders>
            <w:shd w:val="clear" w:color="auto" w:fill="B59CC0"/>
            <w:vAlign w:val="center"/>
            <w:hideMark/>
          </w:tcPr>
          <w:p w14:paraId="01FB1AC8" w14:textId="1834DC84"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Q</w:t>
            </w:r>
            <w:r w:rsidR="00C437DE">
              <w:rPr>
                <w:rFonts w:cs="Arial"/>
                <w:b/>
                <w:bCs/>
                <w:color w:val="000000" w:themeColor="text1"/>
                <w:lang w:eastAsia="zh-CN" w:bidi="th-TH"/>
              </w:rPr>
              <w:t>4</w:t>
            </w:r>
          </w:p>
        </w:tc>
        <w:tc>
          <w:tcPr>
            <w:tcW w:w="1638" w:type="dxa"/>
            <w:tcBorders>
              <w:bottom w:val="nil"/>
            </w:tcBorders>
            <w:shd w:val="clear" w:color="auto" w:fill="B59CC0"/>
            <w:vAlign w:val="center"/>
            <w:hideMark/>
          </w:tcPr>
          <w:p w14:paraId="098FC808" w14:textId="3EFC61F6" w:rsidR="007D0510" w:rsidRPr="003A7C01" w:rsidRDefault="007D0510"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D64950">
              <w:rPr>
                <w:rFonts w:cs="Arial"/>
                <w:b/>
                <w:bCs/>
                <w:color w:val="000000" w:themeColor="text1"/>
                <w:lang w:eastAsia="zh-CN" w:bidi="th-TH"/>
              </w:rPr>
              <w:t>1</w:t>
            </w:r>
          </w:p>
        </w:tc>
        <w:tc>
          <w:tcPr>
            <w:tcW w:w="1638" w:type="dxa"/>
            <w:tcBorders>
              <w:bottom w:val="nil"/>
            </w:tcBorders>
            <w:shd w:val="clear" w:color="auto" w:fill="B59CC0"/>
            <w:vAlign w:val="center"/>
            <w:hideMark/>
          </w:tcPr>
          <w:p w14:paraId="6BF9963F" w14:textId="7346E212" w:rsidR="007D0510" w:rsidRPr="003A7C01" w:rsidRDefault="007D0510"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D64950">
              <w:rPr>
                <w:rFonts w:cs="Arial"/>
                <w:b/>
                <w:bCs/>
                <w:color w:val="000000" w:themeColor="text1"/>
                <w:lang w:eastAsia="zh-CN" w:bidi="th-TH"/>
              </w:rPr>
              <w:t>2</w:t>
            </w:r>
            <w:r w:rsidR="7F721FB9" w:rsidRPr="0B2DEDFC">
              <w:rPr>
                <w:rFonts w:cs="Arial"/>
                <w:b/>
                <w:bCs/>
                <w:color w:val="000000" w:themeColor="text1"/>
                <w:lang w:eastAsia="zh-CN" w:bidi="th-TH"/>
              </w:rPr>
              <w:t xml:space="preserve"> </w:t>
            </w:r>
            <w:r w:rsidRPr="0B2DEDFC">
              <w:rPr>
                <w:rFonts w:cs="Arial"/>
                <w:b/>
                <w:bCs/>
                <w:color w:val="000000" w:themeColor="text1"/>
                <w:lang w:eastAsia="zh-CN" w:bidi="th-TH"/>
              </w:rPr>
              <w:t>202</w:t>
            </w:r>
            <w:r w:rsidR="1C879BA2" w:rsidRPr="0B2DEDFC">
              <w:rPr>
                <w:rFonts w:cs="Arial"/>
                <w:b/>
                <w:bCs/>
                <w:color w:val="000000" w:themeColor="text1"/>
                <w:lang w:eastAsia="zh-CN" w:bidi="th-TH"/>
              </w:rPr>
              <w:t>4</w:t>
            </w:r>
            <w:r w:rsidRPr="0B2DEDFC">
              <w:rPr>
                <w:rFonts w:cs="Arial"/>
                <w:b/>
                <w:bCs/>
                <w:color w:val="000000" w:themeColor="text1"/>
                <w:lang w:eastAsia="zh-CN" w:bidi="th-TH"/>
              </w:rPr>
              <w:t>-2</w:t>
            </w:r>
            <w:r w:rsidR="0ECA26DB" w:rsidRPr="0B2DEDFC">
              <w:rPr>
                <w:rFonts w:cs="Arial"/>
                <w:b/>
                <w:bCs/>
                <w:color w:val="000000" w:themeColor="text1"/>
                <w:lang w:eastAsia="zh-CN" w:bidi="th-TH"/>
              </w:rPr>
              <w:t>5</w:t>
            </w:r>
          </w:p>
        </w:tc>
      </w:tr>
      <w:tr w:rsidR="007D0510" w:rsidRPr="003A7C01" w14:paraId="0DEF3769" w14:textId="77777777" w:rsidTr="00B06DB4">
        <w:trPr>
          <w:cantSplit/>
          <w:trHeight w:val="347"/>
          <w:tblHeader/>
        </w:trPr>
        <w:tc>
          <w:tcPr>
            <w:tcW w:w="4873" w:type="dxa"/>
            <w:vMerge/>
            <w:vAlign w:val="center"/>
            <w:hideMark/>
          </w:tcPr>
          <w:p w14:paraId="3AE3206A" w14:textId="77777777" w:rsidR="007D0510" w:rsidRPr="003A7C01" w:rsidRDefault="007D0510" w:rsidP="00417688">
            <w:pPr>
              <w:spacing w:after="0" w:line="240" w:lineRule="auto"/>
              <w:rPr>
                <w:rFonts w:cs="Arial"/>
                <w:b/>
                <w:bCs/>
                <w:color w:val="000000"/>
                <w:szCs w:val="22"/>
                <w:lang w:eastAsia="zh-CN" w:bidi="th-TH"/>
              </w:rPr>
            </w:pPr>
          </w:p>
        </w:tc>
        <w:tc>
          <w:tcPr>
            <w:tcW w:w="1638" w:type="dxa"/>
            <w:tcBorders>
              <w:top w:val="nil"/>
            </w:tcBorders>
            <w:shd w:val="clear" w:color="auto" w:fill="B59CC0"/>
            <w:vAlign w:val="center"/>
            <w:hideMark/>
          </w:tcPr>
          <w:p w14:paraId="7A749A8F"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2023-24 </w:t>
            </w:r>
          </w:p>
        </w:tc>
        <w:tc>
          <w:tcPr>
            <w:tcW w:w="1638" w:type="dxa"/>
            <w:tcBorders>
              <w:top w:val="nil"/>
            </w:tcBorders>
            <w:shd w:val="clear" w:color="auto" w:fill="B59CC0"/>
            <w:vAlign w:val="center"/>
            <w:hideMark/>
          </w:tcPr>
          <w:p w14:paraId="02D9BA58" w14:textId="38D051F3"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w:t>
            </w:r>
            <w:r w:rsidR="00D64950">
              <w:rPr>
                <w:rFonts w:cs="Arial"/>
                <w:b/>
                <w:bCs/>
                <w:color w:val="000000"/>
                <w:szCs w:val="22"/>
                <w:lang w:eastAsia="zh-CN" w:bidi="th-TH"/>
              </w:rPr>
              <w:t>4</w:t>
            </w:r>
            <w:r w:rsidRPr="003A7C01">
              <w:rPr>
                <w:rFonts w:cs="Arial"/>
                <w:b/>
                <w:bCs/>
                <w:color w:val="000000"/>
                <w:szCs w:val="22"/>
                <w:lang w:eastAsia="zh-CN" w:bidi="th-TH"/>
              </w:rPr>
              <w:t>-2</w:t>
            </w:r>
            <w:r w:rsidR="00D64950">
              <w:rPr>
                <w:rFonts w:cs="Arial"/>
                <w:b/>
                <w:bCs/>
                <w:color w:val="000000"/>
                <w:szCs w:val="22"/>
                <w:lang w:eastAsia="zh-CN" w:bidi="th-TH"/>
              </w:rPr>
              <w:t>5</w:t>
            </w:r>
            <w:r w:rsidRPr="003A7C01">
              <w:rPr>
                <w:rFonts w:cs="Arial"/>
                <w:b/>
                <w:bCs/>
                <w:color w:val="000000"/>
                <w:szCs w:val="22"/>
                <w:lang w:eastAsia="zh-CN" w:bidi="th-TH"/>
              </w:rPr>
              <w:t> </w:t>
            </w:r>
          </w:p>
        </w:tc>
        <w:tc>
          <w:tcPr>
            <w:tcW w:w="1638" w:type="dxa"/>
            <w:tcBorders>
              <w:top w:val="nil"/>
            </w:tcBorders>
            <w:shd w:val="clear" w:color="auto" w:fill="B59CC0"/>
            <w:vAlign w:val="center"/>
            <w:hideMark/>
          </w:tcPr>
          <w:p w14:paraId="75CE7F1B"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C437DE" w:rsidRPr="003A7C01" w14:paraId="40FA3A96" w14:textId="77777777" w:rsidTr="00B06DB4">
        <w:trPr>
          <w:cantSplit/>
          <w:trHeight w:val="883"/>
        </w:trPr>
        <w:tc>
          <w:tcPr>
            <w:tcW w:w="4873" w:type="dxa"/>
            <w:shd w:val="clear" w:color="auto" w:fill="auto"/>
            <w:vAlign w:val="center"/>
            <w:hideMark/>
          </w:tcPr>
          <w:p w14:paraId="2D2D6048" w14:textId="77777777" w:rsidR="00C437DE" w:rsidRPr="003A7C01" w:rsidRDefault="00C437DE" w:rsidP="00C437DE">
            <w:pPr>
              <w:spacing w:after="0" w:line="240" w:lineRule="auto"/>
              <w:rPr>
                <w:rFonts w:cs="Arial"/>
                <w:color w:val="000000"/>
                <w:szCs w:val="22"/>
                <w:lang w:eastAsia="zh-CN" w:bidi="th-TH"/>
              </w:rPr>
            </w:pPr>
            <w:r w:rsidRPr="003A7C01">
              <w:rPr>
                <w:rFonts w:cs="Arial"/>
                <w:color w:val="000000"/>
                <w:szCs w:val="22"/>
                <w:lang w:eastAsia="zh-CN" w:bidi="th-TH"/>
              </w:rPr>
              <w:t>Number of Legal Help sessions delivered </w:t>
            </w:r>
          </w:p>
        </w:tc>
        <w:tc>
          <w:tcPr>
            <w:tcW w:w="1638" w:type="dxa"/>
            <w:shd w:val="clear" w:color="auto" w:fill="auto"/>
            <w:vAlign w:val="center"/>
          </w:tcPr>
          <w:p w14:paraId="71473D3D" w14:textId="2AE49792" w:rsidR="00C437DE" w:rsidRDefault="00C437DE" w:rsidP="00C437DE">
            <w:pPr>
              <w:spacing w:after="0" w:line="240" w:lineRule="auto"/>
              <w:jc w:val="center"/>
              <w:rPr>
                <w:rFonts w:cs="Arial"/>
                <w:color w:val="000000" w:themeColor="text1"/>
                <w:lang w:eastAsia="zh-CN" w:bidi="th-TH"/>
              </w:rPr>
            </w:pPr>
            <w:r w:rsidRPr="0B2DEDFC">
              <w:rPr>
                <w:rFonts w:cs="Arial"/>
                <w:color w:val="000000" w:themeColor="text1"/>
                <w:lang w:eastAsia="zh-CN" w:bidi="th-TH"/>
              </w:rPr>
              <w:t>34,250</w:t>
            </w:r>
          </w:p>
        </w:tc>
        <w:tc>
          <w:tcPr>
            <w:tcW w:w="1638" w:type="dxa"/>
            <w:shd w:val="clear" w:color="auto" w:fill="D0CECE" w:themeFill="background2" w:themeFillShade="E6"/>
            <w:vAlign w:val="center"/>
          </w:tcPr>
          <w:p w14:paraId="0BE091CE" w14:textId="1E977523" w:rsidR="00C437DE" w:rsidRPr="003A7C01" w:rsidRDefault="008726F4" w:rsidP="00C437DE">
            <w:pPr>
              <w:spacing w:after="0" w:line="240" w:lineRule="auto"/>
              <w:jc w:val="center"/>
              <w:rPr>
                <w:rFonts w:cs="Arial"/>
                <w:color w:val="000000"/>
                <w:lang w:eastAsia="zh-CN" w:bidi="th-TH"/>
              </w:rPr>
            </w:pPr>
            <w:r>
              <w:rPr>
                <w:rFonts w:cs="Arial"/>
                <w:color w:val="000000" w:themeColor="text1"/>
                <w:lang w:eastAsia="zh-CN" w:bidi="th-TH"/>
              </w:rPr>
              <w:t>36,707</w:t>
            </w:r>
          </w:p>
        </w:tc>
        <w:tc>
          <w:tcPr>
            <w:tcW w:w="1638" w:type="dxa"/>
            <w:shd w:val="clear" w:color="auto" w:fill="auto"/>
            <w:vAlign w:val="center"/>
          </w:tcPr>
          <w:p w14:paraId="41464CB9" w14:textId="337582ED" w:rsidR="00C437DE" w:rsidRPr="00AF590D" w:rsidRDefault="008726F4" w:rsidP="00C437DE">
            <w:pPr>
              <w:spacing w:after="0" w:line="240" w:lineRule="auto"/>
              <w:jc w:val="center"/>
              <w:rPr>
                <w:rFonts w:cs="Arial"/>
                <w:color w:val="000000"/>
                <w:lang w:eastAsia="zh-CN" w:bidi="th-TH"/>
              </w:rPr>
            </w:pPr>
            <w:r w:rsidRPr="00AF590D">
              <w:rPr>
                <w:rFonts w:cs="Arial"/>
                <w:color w:val="000000" w:themeColor="text1"/>
                <w:lang w:eastAsia="zh-CN" w:bidi="th-TH"/>
              </w:rPr>
              <w:t>30,805</w:t>
            </w:r>
          </w:p>
        </w:tc>
      </w:tr>
      <w:tr w:rsidR="00C437DE" w:rsidRPr="003A7C01" w14:paraId="533292B4" w14:textId="77777777" w:rsidTr="00B06DB4">
        <w:trPr>
          <w:cantSplit/>
          <w:trHeight w:val="883"/>
        </w:trPr>
        <w:tc>
          <w:tcPr>
            <w:tcW w:w="4873" w:type="dxa"/>
            <w:shd w:val="clear" w:color="auto" w:fill="auto"/>
            <w:vAlign w:val="center"/>
            <w:hideMark/>
          </w:tcPr>
          <w:p w14:paraId="5AA65D1D" w14:textId="77777777" w:rsidR="00C437DE" w:rsidRPr="003A7C01" w:rsidRDefault="00C437DE" w:rsidP="00C437DE">
            <w:pPr>
              <w:spacing w:after="0" w:line="240" w:lineRule="auto"/>
              <w:rPr>
                <w:rFonts w:cs="Arial"/>
                <w:color w:val="000000"/>
                <w:highlight w:val="yellow"/>
                <w:lang w:eastAsia="zh-CN" w:bidi="th-TH"/>
              </w:rPr>
            </w:pPr>
            <w:r w:rsidRPr="00124DB1">
              <w:rPr>
                <w:rFonts w:cs="Arial"/>
                <w:color w:val="000000" w:themeColor="text1"/>
                <w:lang w:eastAsia="zh-CN" w:bidi="th-TH"/>
              </w:rPr>
              <w:t>Combined average wait time (minutes) </w:t>
            </w:r>
          </w:p>
        </w:tc>
        <w:tc>
          <w:tcPr>
            <w:tcW w:w="1638" w:type="dxa"/>
            <w:shd w:val="clear" w:color="auto" w:fill="auto"/>
            <w:vAlign w:val="center"/>
          </w:tcPr>
          <w:p w14:paraId="677039B6" w14:textId="3E2C9551" w:rsidR="00C437DE" w:rsidRDefault="00C437DE" w:rsidP="00C437DE">
            <w:pPr>
              <w:spacing w:after="0" w:line="240" w:lineRule="auto"/>
              <w:jc w:val="center"/>
              <w:rPr>
                <w:rFonts w:cs="Arial"/>
                <w:color w:val="000000" w:themeColor="text1"/>
                <w:lang w:eastAsia="zh-CN" w:bidi="th-TH"/>
              </w:rPr>
            </w:pPr>
            <w:r>
              <w:rPr>
                <w:rFonts w:cs="Arial"/>
                <w:color w:val="000000"/>
                <w:lang w:eastAsia="zh-CN" w:bidi="th-TH"/>
              </w:rPr>
              <w:t>9:58</w:t>
            </w:r>
          </w:p>
        </w:tc>
        <w:tc>
          <w:tcPr>
            <w:tcW w:w="1638" w:type="dxa"/>
            <w:shd w:val="clear" w:color="auto" w:fill="D0CECE" w:themeFill="background2" w:themeFillShade="E6"/>
            <w:vAlign w:val="center"/>
          </w:tcPr>
          <w:p w14:paraId="629DC60F" w14:textId="4F690863" w:rsidR="00C437DE" w:rsidRPr="003A7C01" w:rsidRDefault="008726F4" w:rsidP="00C437DE">
            <w:pPr>
              <w:spacing w:after="0" w:line="240" w:lineRule="auto"/>
              <w:jc w:val="center"/>
              <w:rPr>
                <w:rFonts w:cs="Arial"/>
                <w:color w:val="000000"/>
                <w:lang w:eastAsia="zh-CN" w:bidi="th-TH"/>
              </w:rPr>
            </w:pPr>
            <w:r>
              <w:rPr>
                <w:rFonts w:cs="Arial"/>
                <w:color w:val="000000"/>
                <w:lang w:eastAsia="zh-CN" w:bidi="th-TH"/>
              </w:rPr>
              <w:t>13:11</w:t>
            </w:r>
          </w:p>
        </w:tc>
        <w:tc>
          <w:tcPr>
            <w:tcW w:w="1638" w:type="dxa"/>
            <w:shd w:val="clear" w:color="auto" w:fill="FFFFFF" w:themeFill="background1"/>
            <w:vAlign w:val="center"/>
          </w:tcPr>
          <w:p w14:paraId="59C41A52" w14:textId="0B738E24" w:rsidR="00C437DE" w:rsidRPr="00AF590D" w:rsidRDefault="008726F4" w:rsidP="00C437DE">
            <w:pPr>
              <w:spacing w:after="0" w:line="240" w:lineRule="auto"/>
              <w:jc w:val="center"/>
              <w:rPr>
                <w:rFonts w:cs="Arial"/>
                <w:color w:val="000000"/>
                <w:lang w:eastAsia="zh-CN" w:bidi="th-TH"/>
              </w:rPr>
            </w:pPr>
            <w:r w:rsidRPr="00AF590D">
              <w:rPr>
                <w:rFonts w:cs="Arial"/>
                <w:color w:val="000000"/>
                <w:lang w:eastAsia="zh-CN" w:bidi="th-TH"/>
              </w:rPr>
              <w:t>14:20</w:t>
            </w:r>
          </w:p>
        </w:tc>
      </w:tr>
      <w:tr w:rsidR="00C437DE" w:rsidRPr="003A7C01" w14:paraId="15EF6594" w14:textId="77777777" w:rsidTr="00B06DB4">
        <w:trPr>
          <w:cantSplit/>
          <w:trHeight w:val="883"/>
        </w:trPr>
        <w:tc>
          <w:tcPr>
            <w:tcW w:w="4873" w:type="dxa"/>
            <w:shd w:val="clear" w:color="auto" w:fill="auto"/>
            <w:vAlign w:val="center"/>
            <w:hideMark/>
          </w:tcPr>
          <w:p w14:paraId="5632F834" w14:textId="77777777" w:rsidR="00C437DE" w:rsidRPr="003A7C01" w:rsidRDefault="00C437DE" w:rsidP="00C437DE">
            <w:pPr>
              <w:spacing w:after="0" w:line="240" w:lineRule="auto"/>
              <w:rPr>
                <w:rFonts w:cs="Arial"/>
                <w:color w:val="000000"/>
                <w:szCs w:val="22"/>
                <w:lang w:eastAsia="zh-CN" w:bidi="th-TH"/>
              </w:rPr>
            </w:pPr>
            <w:r w:rsidRPr="003A7C01">
              <w:rPr>
                <w:rFonts w:cs="Arial"/>
                <w:color w:val="000000"/>
                <w:szCs w:val="22"/>
                <w:lang w:eastAsia="zh-CN" w:bidi="th-TH"/>
              </w:rPr>
              <w:t>Information sessions </w:t>
            </w:r>
          </w:p>
        </w:tc>
        <w:tc>
          <w:tcPr>
            <w:tcW w:w="1638" w:type="dxa"/>
            <w:shd w:val="clear" w:color="auto" w:fill="auto"/>
            <w:vAlign w:val="center"/>
          </w:tcPr>
          <w:p w14:paraId="3D354727" w14:textId="6B20BC30" w:rsidR="00C437DE" w:rsidRDefault="00C437DE" w:rsidP="00C437DE">
            <w:pPr>
              <w:spacing w:after="0" w:line="240" w:lineRule="auto"/>
              <w:jc w:val="center"/>
              <w:rPr>
                <w:rFonts w:cs="Arial"/>
                <w:color w:val="000000" w:themeColor="text1"/>
                <w:lang w:eastAsia="zh-CN" w:bidi="th-TH"/>
              </w:rPr>
            </w:pPr>
            <w:r w:rsidRPr="0B2DEDFC">
              <w:rPr>
                <w:rFonts w:cs="Arial"/>
                <w:color w:val="000000" w:themeColor="text1"/>
                <w:lang w:eastAsia="zh-CN" w:bidi="th-TH"/>
              </w:rPr>
              <w:t>33,969</w:t>
            </w:r>
          </w:p>
        </w:tc>
        <w:tc>
          <w:tcPr>
            <w:tcW w:w="1638" w:type="dxa"/>
            <w:shd w:val="clear" w:color="auto" w:fill="D0CECE" w:themeFill="background2" w:themeFillShade="E6"/>
            <w:vAlign w:val="center"/>
          </w:tcPr>
          <w:p w14:paraId="5A22B7D6" w14:textId="61E077B8" w:rsidR="00C437DE" w:rsidRPr="003A7C01" w:rsidRDefault="008F2770" w:rsidP="00C437DE">
            <w:pPr>
              <w:spacing w:after="0" w:line="240" w:lineRule="auto"/>
              <w:jc w:val="center"/>
              <w:rPr>
                <w:rFonts w:cs="Arial"/>
                <w:color w:val="000000"/>
                <w:lang w:eastAsia="zh-CN" w:bidi="th-TH"/>
              </w:rPr>
            </w:pPr>
            <w:r>
              <w:rPr>
                <w:rFonts w:cs="Arial"/>
                <w:color w:val="000000" w:themeColor="text1"/>
                <w:lang w:eastAsia="zh-CN" w:bidi="th-TH"/>
              </w:rPr>
              <w:t>31,294</w:t>
            </w:r>
          </w:p>
        </w:tc>
        <w:tc>
          <w:tcPr>
            <w:tcW w:w="1638" w:type="dxa"/>
            <w:shd w:val="clear" w:color="auto" w:fill="auto"/>
            <w:vAlign w:val="center"/>
          </w:tcPr>
          <w:p w14:paraId="00F36ED4" w14:textId="7B5DB877" w:rsidR="00C437DE" w:rsidRPr="00AF590D" w:rsidRDefault="00D64950" w:rsidP="00C437DE">
            <w:pPr>
              <w:spacing w:after="0" w:line="240" w:lineRule="auto"/>
              <w:jc w:val="center"/>
              <w:rPr>
                <w:rFonts w:cs="Arial"/>
                <w:color w:val="000000"/>
                <w:lang w:eastAsia="zh-CN" w:bidi="th-TH"/>
              </w:rPr>
            </w:pPr>
            <w:r w:rsidRPr="00AF590D">
              <w:rPr>
                <w:rFonts w:cs="Arial"/>
                <w:color w:val="000000"/>
                <w:lang w:eastAsia="zh-CN" w:bidi="th-TH"/>
              </w:rPr>
              <w:t>25,246</w:t>
            </w:r>
          </w:p>
        </w:tc>
      </w:tr>
      <w:tr w:rsidR="00C437DE" w:rsidRPr="003A7C01" w14:paraId="2B8B14B8" w14:textId="77777777" w:rsidTr="00B06DB4">
        <w:trPr>
          <w:cantSplit/>
          <w:trHeight w:val="883"/>
        </w:trPr>
        <w:tc>
          <w:tcPr>
            <w:tcW w:w="4873" w:type="dxa"/>
            <w:shd w:val="clear" w:color="auto" w:fill="auto"/>
            <w:vAlign w:val="center"/>
            <w:hideMark/>
          </w:tcPr>
          <w:p w14:paraId="1C1898D7" w14:textId="77777777" w:rsidR="00C437DE" w:rsidRPr="003A7C01" w:rsidRDefault="00C437DE" w:rsidP="00C437DE">
            <w:pPr>
              <w:spacing w:after="0" w:line="240" w:lineRule="auto"/>
              <w:rPr>
                <w:rFonts w:cs="Arial"/>
                <w:color w:val="000000"/>
                <w:highlight w:val="yellow"/>
                <w:lang w:eastAsia="zh-CN" w:bidi="th-TH"/>
              </w:rPr>
            </w:pPr>
            <w:r w:rsidRPr="00F87941">
              <w:rPr>
                <w:rFonts w:cs="Arial"/>
                <w:color w:val="000000" w:themeColor="text1"/>
                <w:lang w:eastAsia="zh-CN" w:bidi="th-TH"/>
              </w:rPr>
              <w:t>Community Legal Education sessions </w:t>
            </w:r>
          </w:p>
        </w:tc>
        <w:tc>
          <w:tcPr>
            <w:tcW w:w="1638" w:type="dxa"/>
            <w:shd w:val="clear" w:color="auto" w:fill="auto"/>
            <w:vAlign w:val="center"/>
          </w:tcPr>
          <w:p w14:paraId="0FE02AEE" w14:textId="557A9947" w:rsidR="00C437DE" w:rsidRDefault="00C437DE" w:rsidP="00C437DE">
            <w:pPr>
              <w:spacing w:after="0" w:line="240" w:lineRule="auto"/>
              <w:jc w:val="center"/>
              <w:rPr>
                <w:rFonts w:cs="Arial"/>
                <w:color w:val="000000" w:themeColor="text1"/>
                <w:lang w:eastAsia="zh-CN" w:bidi="th-TH"/>
              </w:rPr>
            </w:pPr>
            <w:r w:rsidRPr="0B2DEDFC">
              <w:rPr>
                <w:rFonts w:cs="Arial"/>
                <w:color w:val="000000" w:themeColor="text1"/>
                <w:lang w:eastAsia="zh-CN" w:bidi="th-TH"/>
              </w:rPr>
              <w:t>84</w:t>
            </w:r>
          </w:p>
        </w:tc>
        <w:tc>
          <w:tcPr>
            <w:tcW w:w="1638" w:type="dxa"/>
            <w:shd w:val="clear" w:color="auto" w:fill="D0CECE" w:themeFill="background2" w:themeFillShade="E6"/>
            <w:vAlign w:val="center"/>
          </w:tcPr>
          <w:p w14:paraId="4546C815" w14:textId="5B570FEF" w:rsidR="00C437DE" w:rsidRPr="003A7C01" w:rsidRDefault="00693505" w:rsidP="00C437DE">
            <w:pPr>
              <w:spacing w:after="0" w:line="240" w:lineRule="auto"/>
              <w:jc w:val="center"/>
              <w:rPr>
                <w:rFonts w:cs="Arial"/>
                <w:color w:val="000000"/>
                <w:lang w:eastAsia="zh-CN" w:bidi="th-TH"/>
              </w:rPr>
            </w:pPr>
            <w:r>
              <w:rPr>
                <w:rFonts w:cs="Arial"/>
                <w:color w:val="000000" w:themeColor="text1"/>
                <w:lang w:eastAsia="zh-CN" w:bidi="th-TH"/>
              </w:rPr>
              <w:t>35</w:t>
            </w:r>
          </w:p>
        </w:tc>
        <w:tc>
          <w:tcPr>
            <w:tcW w:w="1638" w:type="dxa"/>
            <w:shd w:val="clear" w:color="auto" w:fill="FFFFFF" w:themeFill="background1"/>
            <w:vAlign w:val="center"/>
          </w:tcPr>
          <w:p w14:paraId="477696FC" w14:textId="360B272E" w:rsidR="00C437DE" w:rsidRPr="003A7C01" w:rsidRDefault="00693505" w:rsidP="00C437DE">
            <w:pPr>
              <w:spacing w:after="0" w:line="240" w:lineRule="auto"/>
              <w:jc w:val="center"/>
              <w:rPr>
                <w:rFonts w:cs="Arial"/>
                <w:color w:val="000000"/>
                <w:lang w:eastAsia="zh-CN" w:bidi="th-TH"/>
              </w:rPr>
            </w:pPr>
            <w:r>
              <w:rPr>
                <w:rFonts w:cs="Arial"/>
                <w:color w:val="000000" w:themeColor="text1"/>
                <w:lang w:eastAsia="zh-CN" w:bidi="th-TH"/>
              </w:rPr>
              <w:t>25</w:t>
            </w:r>
          </w:p>
        </w:tc>
      </w:tr>
      <w:tr w:rsidR="00C437DE" w:rsidRPr="003A7C01" w14:paraId="69FDC122" w14:textId="77777777" w:rsidTr="00B06DB4">
        <w:trPr>
          <w:cantSplit/>
          <w:trHeight w:val="883"/>
        </w:trPr>
        <w:tc>
          <w:tcPr>
            <w:tcW w:w="4873" w:type="dxa"/>
            <w:shd w:val="clear" w:color="auto" w:fill="auto"/>
            <w:vAlign w:val="center"/>
            <w:hideMark/>
          </w:tcPr>
          <w:p w14:paraId="11A6A226" w14:textId="5CB4C38E" w:rsidR="00C437DE" w:rsidRPr="003A7C01" w:rsidRDefault="00C437DE" w:rsidP="00C437DE">
            <w:pPr>
              <w:spacing w:after="0" w:line="240" w:lineRule="auto"/>
              <w:rPr>
                <w:rFonts w:cs="Arial"/>
                <w:color w:val="000000"/>
                <w:lang w:eastAsia="zh-CN" w:bidi="th-TH"/>
              </w:rPr>
            </w:pPr>
            <w:r w:rsidRPr="0B2DEDFC">
              <w:rPr>
                <w:rFonts w:cs="Arial"/>
                <w:color w:val="000000" w:themeColor="text1"/>
                <w:lang w:eastAsia="zh-CN" w:bidi="th-TH"/>
              </w:rPr>
              <w:t>Engaged sessions</w:t>
            </w:r>
            <w:r w:rsidR="00710BBC">
              <w:rPr>
                <w:rStyle w:val="FootnoteReference"/>
                <w:rFonts w:cs="Arial"/>
                <w:color w:val="000000" w:themeColor="text1"/>
                <w:lang w:eastAsia="zh-CN" w:bidi="th-TH"/>
              </w:rPr>
              <w:footnoteReference w:id="3"/>
            </w:r>
            <w:r w:rsidRPr="0B2DEDFC">
              <w:rPr>
                <w:rFonts w:cs="Arial"/>
                <w:color w:val="000000" w:themeColor="text1"/>
                <w:lang w:eastAsia="zh-CN" w:bidi="th-TH"/>
              </w:rPr>
              <w:t xml:space="preserve"> of legal information website pages </w:t>
            </w:r>
          </w:p>
        </w:tc>
        <w:tc>
          <w:tcPr>
            <w:tcW w:w="1638" w:type="dxa"/>
            <w:shd w:val="clear" w:color="auto" w:fill="auto"/>
            <w:vAlign w:val="center"/>
          </w:tcPr>
          <w:p w14:paraId="1F1E519F" w14:textId="64EAE401" w:rsidR="00C437DE" w:rsidRDefault="00C437DE" w:rsidP="00C437DE">
            <w:pPr>
              <w:spacing w:after="0" w:line="240" w:lineRule="auto"/>
              <w:jc w:val="center"/>
              <w:rPr>
                <w:rFonts w:cs="Arial"/>
                <w:color w:val="000000" w:themeColor="text1"/>
                <w:lang w:eastAsia="zh-CN" w:bidi="th-TH"/>
              </w:rPr>
            </w:pPr>
            <w:r w:rsidRPr="0B2DEDFC">
              <w:rPr>
                <w:rFonts w:cs="Arial"/>
                <w:color w:val="000000" w:themeColor="text1"/>
                <w:lang w:eastAsia="zh-CN" w:bidi="th-TH"/>
              </w:rPr>
              <w:t>287,044</w:t>
            </w:r>
          </w:p>
        </w:tc>
        <w:tc>
          <w:tcPr>
            <w:tcW w:w="1638" w:type="dxa"/>
            <w:shd w:val="clear" w:color="auto" w:fill="D0CECE" w:themeFill="background2" w:themeFillShade="E6"/>
            <w:vAlign w:val="center"/>
          </w:tcPr>
          <w:p w14:paraId="6E5B3A7C" w14:textId="2239E177" w:rsidR="00C437DE" w:rsidRPr="003A7C01" w:rsidRDefault="00EF31A5" w:rsidP="00C437DE">
            <w:pPr>
              <w:spacing w:after="0" w:line="240" w:lineRule="auto"/>
              <w:jc w:val="center"/>
              <w:rPr>
                <w:rFonts w:cs="Arial"/>
                <w:color w:val="000000"/>
                <w:lang w:eastAsia="zh-CN" w:bidi="th-TH"/>
              </w:rPr>
            </w:pPr>
            <w:r>
              <w:rPr>
                <w:rFonts w:cs="Arial"/>
                <w:color w:val="000000" w:themeColor="text1"/>
                <w:lang w:eastAsia="zh-CN" w:bidi="th-TH"/>
              </w:rPr>
              <w:t>294,149</w:t>
            </w:r>
          </w:p>
        </w:tc>
        <w:tc>
          <w:tcPr>
            <w:tcW w:w="1638" w:type="dxa"/>
            <w:shd w:val="clear" w:color="auto" w:fill="FFFFFF" w:themeFill="background1"/>
            <w:vAlign w:val="center"/>
            <w:hideMark/>
          </w:tcPr>
          <w:p w14:paraId="3CDF9FAF" w14:textId="77777777" w:rsidR="00C437DE" w:rsidRPr="003A7C01" w:rsidRDefault="00C437DE" w:rsidP="00C437DE">
            <w:pPr>
              <w:spacing w:after="0" w:line="240" w:lineRule="auto"/>
              <w:jc w:val="center"/>
              <w:rPr>
                <w:rFonts w:cs="Arial"/>
                <w:color w:val="000000"/>
                <w:szCs w:val="22"/>
                <w:lang w:eastAsia="zh-CN" w:bidi="th-TH"/>
              </w:rPr>
            </w:pPr>
            <w:r w:rsidRPr="003A7C01">
              <w:rPr>
                <w:rFonts w:cs="Arial"/>
                <w:color w:val="000000"/>
                <w:szCs w:val="22"/>
                <w:lang w:eastAsia="zh-CN" w:bidi="th-TH"/>
              </w:rPr>
              <w:t>N/A</w:t>
            </w:r>
          </w:p>
        </w:tc>
      </w:tr>
    </w:tbl>
    <w:p w14:paraId="436B6788" w14:textId="0D76FC92" w:rsidR="007D0510" w:rsidRPr="0009722D" w:rsidRDefault="30B085D1" w:rsidP="006663C9">
      <w:pPr>
        <w:pStyle w:val="Heading2"/>
      </w:pPr>
      <w:r>
        <w:t xml:space="preserve">Independent </w:t>
      </w:r>
      <w:r w:rsidR="004665D1">
        <w:t>advocacy services</w:t>
      </w:r>
    </w:p>
    <w:p w14:paraId="09A2CD5F" w14:textId="6B90F950" w:rsidR="00F40F30" w:rsidRPr="00DE19B0" w:rsidRDefault="00F40F30" w:rsidP="00F40F30">
      <w:pPr>
        <w:rPr>
          <w:rFonts w:asciiTheme="minorHAnsi" w:eastAsiaTheme="minorHAnsi" w:hAnsiTheme="minorHAnsi" w:cstheme="minorBidi"/>
          <w:sz w:val="24"/>
          <w:lang w:val="en-GB"/>
        </w:rPr>
      </w:pPr>
      <w:r>
        <w:rPr>
          <w:lang w:eastAsia="en-AU"/>
        </w:rPr>
        <w:t xml:space="preserve">VLA provides specialist non-legal services that help people advocate for themselves and inform people and communities of their rights when it comes to both the mental health and the child protection systems. </w:t>
      </w:r>
    </w:p>
    <w:p w14:paraId="3F9DBF90" w14:textId="22308F82" w:rsidR="00303C8F" w:rsidRDefault="00EF6EE3" w:rsidP="0060644D">
      <w:pPr>
        <w:rPr>
          <w:lang w:eastAsia="en-AU"/>
        </w:rPr>
      </w:pPr>
      <w:r>
        <w:rPr>
          <w:lang w:eastAsia="en-AU"/>
        </w:rPr>
        <w:t>Since September 2023, our Independent Mental Health Advocacy (IMHA) service has operated on an ‘opt-out’ model</w:t>
      </w:r>
      <w:r w:rsidR="00F40F30" w:rsidRPr="00BB0F84">
        <w:rPr>
          <w:lang w:eastAsia="en-AU"/>
        </w:rPr>
        <w:t xml:space="preserve">. </w:t>
      </w:r>
      <w:r w:rsidR="00A5319D">
        <w:rPr>
          <w:lang w:eastAsia="en-AU"/>
        </w:rPr>
        <w:t>Since th</w:t>
      </w:r>
      <w:r w:rsidR="004D63BF">
        <w:rPr>
          <w:lang w:eastAsia="en-AU"/>
        </w:rPr>
        <w:t>is</w:t>
      </w:r>
      <w:r w:rsidR="00A5319D">
        <w:rPr>
          <w:lang w:eastAsia="en-AU"/>
        </w:rPr>
        <w:t xml:space="preserve"> </w:t>
      </w:r>
      <w:r w:rsidR="00821311">
        <w:rPr>
          <w:lang w:eastAsia="en-AU"/>
        </w:rPr>
        <w:t xml:space="preserve">model </w:t>
      </w:r>
      <w:r w:rsidR="00A5319D">
        <w:rPr>
          <w:lang w:eastAsia="en-AU"/>
        </w:rPr>
        <w:t>commenced,</w:t>
      </w:r>
      <w:r w:rsidR="00065FA9">
        <w:rPr>
          <w:lang w:eastAsia="en-AU"/>
        </w:rPr>
        <w:t xml:space="preserve"> there </w:t>
      </w:r>
      <w:r w:rsidR="00920802">
        <w:rPr>
          <w:lang w:eastAsia="en-AU"/>
        </w:rPr>
        <w:t xml:space="preserve">has </w:t>
      </w:r>
      <w:r w:rsidR="00065FA9">
        <w:rPr>
          <w:lang w:eastAsia="en-AU"/>
        </w:rPr>
        <w:t>be</w:t>
      </w:r>
      <w:r w:rsidR="00920802">
        <w:rPr>
          <w:lang w:eastAsia="en-AU"/>
        </w:rPr>
        <w:t>en</w:t>
      </w:r>
      <w:r w:rsidR="00065FA9">
        <w:rPr>
          <w:lang w:eastAsia="en-AU"/>
        </w:rPr>
        <w:t xml:space="preserve"> a</w:t>
      </w:r>
      <w:r w:rsidR="00821311">
        <w:rPr>
          <w:lang w:eastAsia="en-AU"/>
        </w:rPr>
        <w:t xml:space="preserve"> significant</w:t>
      </w:r>
      <w:r w:rsidR="00065FA9">
        <w:rPr>
          <w:lang w:eastAsia="en-AU"/>
        </w:rPr>
        <w:t xml:space="preserve"> </w:t>
      </w:r>
      <w:r w:rsidR="00F40F30" w:rsidRPr="00BB0F84">
        <w:rPr>
          <w:lang w:eastAsia="en-AU"/>
        </w:rPr>
        <w:t xml:space="preserve">increase </w:t>
      </w:r>
      <w:r w:rsidR="00065FA9">
        <w:rPr>
          <w:lang w:eastAsia="en-AU"/>
        </w:rPr>
        <w:t>in</w:t>
      </w:r>
      <w:r w:rsidR="00F40F30" w:rsidRPr="00BB0F84">
        <w:rPr>
          <w:lang w:eastAsia="en-AU"/>
        </w:rPr>
        <w:t xml:space="preserve"> demand for our </w:t>
      </w:r>
      <w:r w:rsidR="00F40F30" w:rsidRPr="00BB0F84">
        <w:rPr>
          <w:lang w:eastAsia="en-AU"/>
        </w:rPr>
        <w:lastRenderedPageBreak/>
        <w:t>services.</w:t>
      </w:r>
      <w:r w:rsidR="00F40F30">
        <w:rPr>
          <w:lang w:eastAsia="en-AU"/>
        </w:rPr>
        <w:t xml:space="preserve"> </w:t>
      </w:r>
      <w:r w:rsidR="00920802" w:rsidRPr="00296755">
        <w:rPr>
          <w:lang w:eastAsia="en-AU"/>
        </w:rPr>
        <w:t xml:space="preserve">IMHA </w:t>
      </w:r>
      <w:r w:rsidR="002D7DBA">
        <w:rPr>
          <w:lang w:eastAsia="en-AU"/>
        </w:rPr>
        <w:t xml:space="preserve">is </w:t>
      </w:r>
      <w:r w:rsidR="00920802" w:rsidRPr="00296755">
        <w:rPr>
          <w:lang w:eastAsia="en-AU"/>
        </w:rPr>
        <w:t xml:space="preserve">now present in Melbourne and eight other locations around Victoria. </w:t>
      </w:r>
      <w:r w:rsidR="002D7DBA">
        <w:rPr>
          <w:lang w:eastAsia="en-AU"/>
        </w:rPr>
        <w:t>There is</w:t>
      </w:r>
      <w:r w:rsidR="00A725A6">
        <w:rPr>
          <w:lang w:eastAsia="en-AU"/>
        </w:rPr>
        <w:t xml:space="preserve"> also</w:t>
      </w:r>
      <w:r w:rsidR="00920802" w:rsidRPr="00296755">
        <w:rPr>
          <w:lang w:eastAsia="en-AU"/>
        </w:rPr>
        <w:t xml:space="preserve"> a team of First Nations advocates working closely with the Victorian Aboriginal Legal Service, increasing access for First Nations consumers</w:t>
      </w:r>
      <w:r w:rsidR="0060644D">
        <w:rPr>
          <w:lang w:eastAsia="en-AU"/>
        </w:rPr>
        <w:t>. The</w:t>
      </w:r>
      <w:r w:rsidR="00064DF5">
        <w:rPr>
          <w:lang w:eastAsia="en-AU"/>
        </w:rPr>
        <w:t xml:space="preserve"> </w:t>
      </w:r>
      <w:r w:rsidR="00186D3B">
        <w:rPr>
          <w:lang w:eastAsia="en-AU"/>
        </w:rPr>
        <w:t xml:space="preserve">high demand for services during the quarter is expected to continue (Table 1.3). </w:t>
      </w:r>
    </w:p>
    <w:p w14:paraId="76CF9F80" w14:textId="380E72C6" w:rsidR="001737CD" w:rsidRDefault="00296755" w:rsidP="00B1347F">
      <w:pPr>
        <w:rPr>
          <w:lang w:eastAsia="en-AU"/>
        </w:rPr>
      </w:pPr>
      <w:r w:rsidRPr="57B55C36">
        <w:rPr>
          <w:lang w:eastAsia="en-AU"/>
        </w:rPr>
        <w:t>Independent Family Advocacy and Support (IFAS) provides non-legal advocacy to parents and primary carers navigating the early stages of the child protection system. This service helps achieve better justice outcomes by diverting families from the court system in child protection matters.</w:t>
      </w:r>
      <w:r w:rsidR="00A95799" w:rsidRPr="57B55C36">
        <w:rPr>
          <w:lang w:eastAsia="en-AU"/>
        </w:rPr>
        <w:t xml:space="preserve"> </w:t>
      </w:r>
      <w:r w:rsidR="00F40F30" w:rsidRPr="57B55C36">
        <w:rPr>
          <w:lang w:eastAsia="en-AU"/>
        </w:rPr>
        <w:t>IFAS</w:t>
      </w:r>
      <w:r w:rsidR="00B1347F" w:rsidRPr="57B55C36">
        <w:rPr>
          <w:lang w:eastAsia="en-AU"/>
        </w:rPr>
        <w:t xml:space="preserve"> services were</w:t>
      </w:r>
      <w:r w:rsidR="00174E9C" w:rsidRPr="57B55C36">
        <w:rPr>
          <w:lang w:eastAsia="en-AU"/>
        </w:rPr>
        <w:t xml:space="preserve"> overall</w:t>
      </w:r>
      <w:r w:rsidR="00B1347F" w:rsidRPr="57B55C36">
        <w:rPr>
          <w:lang w:eastAsia="en-AU"/>
        </w:rPr>
        <w:t xml:space="preserve"> lower than</w:t>
      </w:r>
      <w:r w:rsidR="00E37C76" w:rsidRPr="57B55C36">
        <w:rPr>
          <w:lang w:eastAsia="en-AU"/>
        </w:rPr>
        <w:t xml:space="preserve"> </w:t>
      </w:r>
      <w:r w:rsidR="00AE600C" w:rsidRPr="57B55C36">
        <w:rPr>
          <w:lang w:eastAsia="en-AU"/>
        </w:rPr>
        <w:t xml:space="preserve">last quarter </w:t>
      </w:r>
      <w:r w:rsidR="00696C8D" w:rsidRPr="57B55C36">
        <w:rPr>
          <w:lang w:eastAsia="en-AU"/>
        </w:rPr>
        <w:t>(Table 1.3)</w:t>
      </w:r>
      <w:r w:rsidR="00E37C76" w:rsidRPr="57B55C36">
        <w:rPr>
          <w:lang w:eastAsia="en-AU"/>
        </w:rPr>
        <w:t xml:space="preserve">, due to </w:t>
      </w:r>
      <w:r w:rsidR="00174E9C" w:rsidRPr="57B55C36">
        <w:rPr>
          <w:lang w:eastAsia="en-AU"/>
        </w:rPr>
        <w:t>staf</w:t>
      </w:r>
      <w:r w:rsidR="00910036">
        <w:rPr>
          <w:lang w:eastAsia="en-AU"/>
        </w:rPr>
        <w:t>f</w:t>
      </w:r>
      <w:r w:rsidR="00174E9C" w:rsidRPr="57B55C36">
        <w:rPr>
          <w:lang w:eastAsia="en-AU"/>
        </w:rPr>
        <w:t xml:space="preserve"> </w:t>
      </w:r>
      <w:r w:rsidR="6E5E17C7" w:rsidRPr="57B55C36">
        <w:rPr>
          <w:lang w:eastAsia="en-AU"/>
        </w:rPr>
        <w:t xml:space="preserve">vacancies </w:t>
      </w:r>
      <w:r w:rsidR="00E37C76" w:rsidRPr="57B55C36">
        <w:rPr>
          <w:lang w:eastAsia="en-AU"/>
        </w:rPr>
        <w:t xml:space="preserve">rather than a </w:t>
      </w:r>
      <w:r w:rsidR="00910036">
        <w:rPr>
          <w:lang w:eastAsia="en-AU"/>
        </w:rPr>
        <w:t>change</w:t>
      </w:r>
      <w:r w:rsidR="00910036" w:rsidRPr="57B55C36">
        <w:rPr>
          <w:lang w:eastAsia="en-AU"/>
        </w:rPr>
        <w:t xml:space="preserve"> </w:t>
      </w:r>
      <w:r w:rsidR="00E37C76" w:rsidRPr="57B55C36">
        <w:rPr>
          <w:lang w:eastAsia="en-AU"/>
        </w:rPr>
        <w:t xml:space="preserve">in demand. </w:t>
      </w:r>
      <w:r w:rsidR="008D7F71" w:rsidRPr="57B55C36">
        <w:rPr>
          <w:lang w:eastAsia="en-AU"/>
        </w:rPr>
        <w:t xml:space="preserve">The recruitment of new advocates </w:t>
      </w:r>
      <w:r w:rsidR="008C409F" w:rsidRPr="57B55C36">
        <w:rPr>
          <w:lang w:eastAsia="en-AU"/>
        </w:rPr>
        <w:t>is</w:t>
      </w:r>
      <w:r w:rsidR="008D7F71" w:rsidRPr="57B55C36">
        <w:rPr>
          <w:lang w:eastAsia="en-AU"/>
        </w:rPr>
        <w:t xml:space="preserve"> expected to </w:t>
      </w:r>
      <w:r w:rsidR="008C409F" w:rsidRPr="57B55C36">
        <w:rPr>
          <w:lang w:eastAsia="en-AU"/>
        </w:rPr>
        <w:t xml:space="preserve">bolster service delivery levels next quarter. </w:t>
      </w:r>
    </w:p>
    <w:p w14:paraId="652D927F" w14:textId="0CFDABA6" w:rsidR="00F40F30" w:rsidRDefault="00F40F30" w:rsidP="006663C9">
      <w:pPr>
        <w:pStyle w:val="Tableheader"/>
      </w:pPr>
      <w:r>
        <w:t xml:space="preserve">Table 1.3 </w:t>
      </w:r>
      <w:bookmarkStart w:id="2" w:name="_Hlk182299808"/>
      <w:r w:rsidR="680266B3">
        <w:t>Independent</w:t>
      </w:r>
      <w:r>
        <w:t xml:space="preserve"> advocacy services</w:t>
      </w:r>
      <w:bookmarkEnd w:id="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890"/>
        <w:gridCol w:w="1890"/>
        <w:gridCol w:w="1890"/>
      </w:tblGrid>
      <w:tr w:rsidR="00F40F30" w:rsidRPr="003A7C01" w14:paraId="3AFCE2BF" w14:textId="77777777" w:rsidTr="002F2070">
        <w:trPr>
          <w:cantSplit/>
          <w:trHeight w:val="333"/>
          <w:tblHeader/>
        </w:trPr>
        <w:tc>
          <w:tcPr>
            <w:tcW w:w="4158" w:type="dxa"/>
            <w:vMerge w:val="restart"/>
            <w:shd w:val="clear" w:color="auto" w:fill="B59CC0"/>
            <w:vAlign w:val="center"/>
            <w:hideMark/>
          </w:tcPr>
          <w:p w14:paraId="5493D907" w14:textId="626E98CE" w:rsidR="00F40F30" w:rsidRPr="003A7C01" w:rsidRDefault="6C88D805" w:rsidP="57B55C36">
            <w:pPr>
              <w:rPr>
                <w:rFonts w:cs="Arial"/>
                <w:b/>
                <w:bCs/>
                <w:color w:val="000000"/>
                <w:lang w:eastAsia="zh-CN" w:bidi="th-TH"/>
              </w:rPr>
            </w:pPr>
            <w:r w:rsidRPr="57B55C36">
              <w:rPr>
                <w:rFonts w:cs="Arial"/>
                <w:b/>
                <w:bCs/>
                <w:color w:val="000000" w:themeColor="text1"/>
                <w:lang w:eastAsia="zh-CN" w:bidi="th-TH"/>
              </w:rPr>
              <w:t>Independent</w:t>
            </w:r>
            <w:r w:rsidR="00F40F30" w:rsidRPr="57B55C36">
              <w:rPr>
                <w:rFonts w:cs="Arial"/>
                <w:b/>
                <w:bCs/>
                <w:color w:val="000000" w:themeColor="text1"/>
                <w:lang w:eastAsia="zh-CN" w:bidi="th-TH"/>
              </w:rPr>
              <w:t xml:space="preserve"> advocacy services</w:t>
            </w:r>
          </w:p>
        </w:tc>
        <w:tc>
          <w:tcPr>
            <w:tcW w:w="1890" w:type="dxa"/>
            <w:tcBorders>
              <w:bottom w:val="nil"/>
            </w:tcBorders>
            <w:shd w:val="clear" w:color="auto" w:fill="B59CC0"/>
            <w:vAlign w:val="center"/>
            <w:hideMark/>
          </w:tcPr>
          <w:p w14:paraId="718598E8" w14:textId="5F7ED4C5"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Q</w:t>
            </w:r>
            <w:r w:rsidR="00DB5C6C">
              <w:rPr>
                <w:rFonts w:cs="Arial"/>
                <w:b/>
                <w:bCs/>
                <w:color w:val="000000" w:themeColor="text1"/>
                <w:lang w:eastAsia="zh-CN" w:bidi="th-TH"/>
              </w:rPr>
              <w:t>4</w:t>
            </w:r>
          </w:p>
        </w:tc>
        <w:tc>
          <w:tcPr>
            <w:tcW w:w="1890" w:type="dxa"/>
            <w:tcBorders>
              <w:bottom w:val="nil"/>
            </w:tcBorders>
            <w:shd w:val="clear" w:color="auto" w:fill="B59CC0"/>
            <w:vAlign w:val="center"/>
            <w:hideMark/>
          </w:tcPr>
          <w:p w14:paraId="74997BA7" w14:textId="1FB57C49" w:rsidR="00F40F30" w:rsidRPr="003A7C01" w:rsidRDefault="00F40F30"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DB5C6C">
              <w:rPr>
                <w:rFonts w:cs="Arial"/>
                <w:b/>
                <w:bCs/>
                <w:color w:val="000000" w:themeColor="text1"/>
                <w:lang w:eastAsia="zh-CN" w:bidi="th-TH"/>
              </w:rPr>
              <w:t>1</w:t>
            </w:r>
          </w:p>
        </w:tc>
        <w:tc>
          <w:tcPr>
            <w:tcW w:w="1890" w:type="dxa"/>
            <w:tcBorders>
              <w:bottom w:val="nil"/>
            </w:tcBorders>
            <w:shd w:val="clear" w:color="auto" w:fill="B59CC0"/>
            <w:vAlign w:val="center"/>
            <w:hideMark/>
          </w:tcPr>
          <w:p w14:paraId="3F29A071" w14:textId="106DB385" w:rsidR="00F40F30" w:rsidRPr="00BD4DED" w:rsidRDefault="00F40F30" w:rsidP="0B2DEDFC">
            <w:pPr>
              <w:spacing w:after="0" w:line="240" w:lineRule="auto"/>
              <w:jc w:val="center"/>
              <w:rPr>
                <w:rFonts w:cs="Arial"/>
                <w:b/>
                <w:bCs/>
                <w:color w:val="000000"/>
                <w:lang w:eastAsia="zh-CN" w:bidi="th-TH"/>
              </w:rPr>
            </w:pPr>
            <w:r w:rsidRPr="00BD4DED">
              <w:rPr>
                <w:rFonts w:cs="Arial"/>
                <w:b/>
                <w:bCs/>
                <w:color w:val="000000" w:themeColor="text1"/>
                <w:lang w:eastAsia="zh-CN" w:bidi="th-TH"/>
              </w:rPr>
              <w:t>Q</w:t>
            </w:r>
            <w:r w:rsidR="00787DA3">
              <w:rPr>
                <w:rFonts w:cs="Arial"/>
                <w:b/>
                <w:bCs/>
                <w:color w:val="000000" w:themeColor="text1"/>
                <w:lang w:eastAsia="zh-CN" w:bidi="th-TH"/>
              </w:rPr>
              <w:t>2</w:t>
            </w:r>
            <w:r w:rsidR="1A6892EE" w:rsidRPr="00BD4DED">
              <w:rPr>
                <w:rFonts w:cs="Arial"/>
                <w:b/>
                <w:bCs/>
                <w:color w:val="000000" w:themeColor="text1"/>
                <w:lang w:eastAsia="zh-CN" w:bidi="th-TH"/>
              </w:rPr>
              <w:t xml:space="preserve"> </w:t>
            </w:r>
            <w:r w:rsidRPr="00BD4DED">
              <w:rPr>
                <w:rFonts w:cs="Arial"/>
                <w:b/>
                <w:bCs/>
                <w:color w:val="000000" w:themeColor="text1"/>
                <w:lang w:eastAsia="zh-CN" w:bidi="th-TH"/>
              </w:rPr>
              <w:t>202</w:t>
            </w:r>
            <w:r w:rsidR="415E4349" w:rsidRPr="00BD4DED">
              <w:rPr>
                <w:rFonts w:cs="Arial"/>
                <w:b/>
                <w:bCs/>
                <w:color w:val="000000" w:themeColor="text1"/>
                <w:lang w:eastAsia="zh-CN" w:bidi="th-TH"/>
              </w:rPr>
              <w:t>4</w:t>
            </w:r>
            <w:r w:rsidRPr="00BD4DED">
              <w:rPr>
                <w:rFonts w:cs="Arial"/>
                <w:b/>
                <w:bCs/>
                <w:color w:val="000000" w:themeColor="text1"/>
                <w:lang w:eastAsia="zh-CN" w:bidi="th-TH"/>
              </w:rPr>
              <w:t>-2</w:t>
            </w:r>
            <w:r w:rsidR="5AE60BE8" w:rsidRPr="00BD4DED">
              <w:rPr>
                <w:rFonts w:cs="Arial"/>
                <w:b/>
                <w:bCs/>
                <w:color w:val="000000" w:themeColor="text1"/>
                <w:lang w:eastAsia="zh-CN" w:bidi="th-TH"/>
              </w:rPr>
              <w:t>5</w:t>
            </w:r>
          </w:p>
        </w:tc>
      </w:tr>
      <w:tr w:rsidR="00F40F30" w:rsidRPr="003A7C01" w14:paraId="32BD91C1" w14:textId="77777777" w:rsidTr="002F2070">
        <w:trPr>
          <w:cantSplit/>
          <w:trHeight w:val="333"/>
          <w:tblHeader/>
        </w:trPr>
        <w:tc>
          <w:tcPr>
            <w:tcW w:w="4158" w:type="dxa"/>
            <w:vMerge/>
            <w:vAlign w:val="center"/>
            <w:hideMark/>
          </w:tcPr>
          <w:p w14:paraId="12938F1C" w14:textId="77777777" w:rsidR="00F40F30" w:rsidRPr="003A7C01" w:rsidRDefault="00F40F30" w:rsidP="00417688">
            <w:pPr>
              <w:spacing w:after="0" w:line="240" w:lineRule="auto"/>
              <w:rPr>
                <w:rFonts w:cs="Arial"/>
                <w:b/>
                <w:bCs/>
                <w:color w:val="000000"/>
                <w:szCs w:val="22"/>
                <w:lang w:eastAsia="zh-CN" w:bidi="th-TH"/>
              </w:rPr>
            </w:pPr>
          </w:p>
        </w:tc>
        <w:tc>
          <w:tcPr>
            <w:tcW w:w="1890" w:type="dxa"/>
            <w:tcBorders>
              <w:top w:val="nil"/>
            </w:tcBorders>
            <w:shd w:val="clear" w:color="auto" w:fill="B59CC0"/>
            <w:vAlign w:val="center"/>
            <w:hideMark/>
          </w:tcPr>
          <w:p w14:paraId="22D982A3"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2023-24 </w:t>
            </w:r>
          </w:p>
        </w:tc>
        <w:tc>
          <w:tcPr>
            <w:tcW w:w="1890" w:type="dxa"/>
            <w:tcBorders>
              <w:top w:val="nil"/>
            </w:tcBorders>
            <w:shd w:val="clear" w:color="auto" w:fill="B59CC0"/>
            <w:vAlign w:val="center"/>
            <w:hideMark/>
          </w:tcPr>
          <w:p w14:paraId="288A376E" w14:textId="40116FF3"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w:t>
            </w:r>
            <w:r w:rsidR="00DB5C6C">
              <w:rPr>
                <w:rFonts w:cs="Arial"/>
                <w:b/>
                <w:bCs/>
                <w:color w:val="000000"/>
                <w:szCs w:val="22"/>
                <w:lang w:eastAsia="zh-CN" w:bidi="th-TH"/>
              </w:rPr>
              <w:t>4</w:t>
            </w:r>
            <w:r w:rsidRPr="003A7C01">
              <w:rPr>
                <w:rFonts w:cs="Arial"/>
                <w:b/>
                <w:bCs/>
                <w:color w:val="000000"/>
                <w:szCs w:val="22"/>
                <w:lang w:eastAsia="zh-CN" w:bidi="th-TH"/>
              </w:rPr>
              <w:t>-2</w:t>
            </w:r>
            <w:r w:rsidR="00DB5C6C">
              <w:rPr>
                <w:rFonts w:cs="Arial"/>
                <w:b/>
                <w:bCs/>
                <w:color w:val="000000"/>
                <w:szCs w:val="22"/>
                <w:lang w:eastAsia="zh-CN" w:bidi="th-TH"/>
              </w:rPr>
              <w:t>5</w:t>
            </w:r>
            <w:r w:rsidRPr="003A7C01">
              <w:rPr>
                <w:rFonts w:cs="Arial"/>
                <w:b/>
                <w:bCs/>
                <w:color w:val="000000"/>
                <w:szCs w:val="22"/>
                <w:lang w:eastAsia="zh-CN" w:bidi="th-TH"/>
              </w:rPr>
              <w:t> </w:t>
            </w:r>
          </w:p>
        </w:tc>
        <w:tc>
          <w:tcPr>
            <w:tcW w:w="1890" w:type="dxa"/>
            <w:tcBorders>
              <w:top w:val="nil"/>
            </w:tcBorders>
            <w:shd w:val="clear" w:color="auto" w:fill="B59CC0"/>
            <w:vAlign w:val="center"/>
            <w:hideMark/>
          </w:tcPr>
          <w:p w14:paraId="597D3094" w14:textId="77777777" w:rsidR="00F40F30" w:rsidRPr="00BD4DED" w:rsidRDefault="00F40F30" w:rsidP="0B2DEDFC">
            <w:pPr>
              <w:spacing w:after="0" w:line="240" w:lineRule="auto"/>
              <w:jc w:val="center"/>
              <w:rPr>
                <w:rFonts w:cs="Arial"/>
                <w:b/>
                <w:bCs/>
                <w:color w:val="000000"/>
                <w:lang w:eastAsia="zh-CN" w:bidi="th-TH"/>
              </w:rPr>
            </w:pPr>
            <w:r w:rsidRPr="00BD4DED">
              <w:rPr>
                <w:rFonts w:cs="Arial"/>
                <w:b/>
                <w:bCs/>
                <w:color w:val="000000" w:themeColor="text1"/>
                <w:lang w:eastAsia="zh-CN" w:bidi="th-TH"/>
              </w:rPr>
              <w:t>projection</w:t>
            </w:r>
          </w:p>
        </w:tc>
      </w:tr>
      <w:tr w:rsidR="00DB5C6C" w:rsidRPr="003A7C01" w14:paraId="545CB9D9" w14:textId="77777777" w:rsidTr="002F2070">
        <w:trPr>
          <w:cantSplit/>
          <w:trHeight w:val="856"/>
        </w:trPr>
        <w:tc>
          <w:tcPr>
            <w:tcW w:w="4158" w:type="dxa"/>
            <w:shd w:val="clear" w:color="auto" w:fill="auto"/>
            <w:vAlign w:val="center"/>
            <w:hideMark/>
          </w:tcPr>
          <w:p w14:paraId="2D8D79D9" w14:textId="77777777" w:rsidR="00DB5C6C" w:rsidRPr="003A7C01" w:rsidRDefault="00DB5C6C" w:rsidP="00DB5C6C">
            <w:pPr>
              <w:spacing w:after="0" w:line="240" w:lineRule="auto"/>
              <w:rPr>
                <w:rFonts w:cs="Arial"/>
                <w:color w:val="000000"/>
                <w:szCs w:val="22"/>
                <w:lang w:eastAsia="zh-CN" w:bidi="th-TH"/>
              </w:rPr>
            </w:pPr>
            <w:r w:rsidRPr="003A7C01">
              <w:rPr>
                <w:rFonts w:cs="Arial"/>
                <w:color w:val="000000"/>
                <w:szCs w:val="22"/>
                <w:lang w:eastAsia="zh-CN" w:bidi="th-TH"/>
              </w:rPr>
              <w:t>IMHA information and referral sessions</w:t>
            </w:r>
          </w:p>
        </w:tc>
        <w:tc>
          <w:tcPr>
            <w:tcW w:w="1890" w:type="dxa"/>
            <w:shd w:val="clear" w:color="auto" w:fill="auto"/>
            <w:vAlign w:val="center"/>
          </w:tcPr>
          <w:p w14:paraId="483CCC41" w14:textId="78009D1C" w:rsidR="00DB5C6C" w:rsidRDefault="00DB5C6C" w:rsidP="00DB5C6C">
            <w:pPr>
              <w:spacing w:after="0" w:line="240" w:lineRule="auto"/>
              <w:jc w:val="center"/>
              <w:rPr>
                <w:rFonts w:cs="Arial"/>
                <w:color w:val="000000" w:themeColor="text1"/>
                <w:lang w:eastAsia="zh-CN" w:bidi="th-TH"/>
              </w:rPr>
            </w:pPr>
            <w:r w:rsidRPr="0B2DEDFC">
              <w:rPr>
                <w:rFonts w:cs="Arial"/>
                <w:color w:val="000000" w:themeColor="text1"/>
                <w:lang w:eastAsia="zh-CN" w:bidi="th-TH"/>
              </w:rPr>
              <w:t>16,651</w:t>
            </w:r>
          </w:p>
        </w:tc>
        <w:tc>
          <w:tcPr>
            <w:tcW w:w="1890" w:type="dxa"/>
            <w:shd w:val="clear" w:color="auto" w:fill="D9D9D9" w:themeFill="background1" w:themeFillShade="D9"/>
            <w:vAlign w:val="center"/>
          </w:tcPr>
          <w:p w14:paraId="311C0065" w14:textId="47E8F4B9" w:rsidR="00DB5C6C" w:rsidRPr="003A7C01" w:rsidRDefault="006A1D49" w:rsidP="00DB5C6C">
            <w:pPr>
              <w:spacing w:after="0" w:line="240" w:lineRule="auto"/>
              <w:jc w:val="center"/>
              <w:rPr>
                <w:rFonts w:cs="Arial"/>
                <w:color w:val="000000"/>
                <w:lang w:eastAsia="zh-CN" w:bidi="th-TH"/>
              </w:rPr>
            </w:pPr>
            <w:r>
              <w:rPr>
                <w:rFonts w:cs="Arial"/>
                <w:color w:val="000000" w:themeColor="text1"/>
                <w:lang w:eastAsia="zh-CN" w:bidi="th-TH"/>
              </w:rPr>
              <w:t>17,</w:t>
            </w:r>
            <w:r w:rsidR="6C50F46C" w:rsidRPr="1E3260B8">
              <w:rPr>
                <w:rFonts w:cs="Arial"/>
                <w:color w:val="000000" w:themeColor="text1"/>
                <w:lang w:eastAsia="zh-CN" w:bidi="th-TH"/>
              </w:rPr>
              <w:t>150</w:t>
            </w:r>
          </w:p>
        </w:tc>
        <w:tc>
          <w:tcPr>
            <w:tcW w:w="1890" w:type="dxa"/>
            <w:shd w:val="clear" w:color="auto" w:fill="auto"/>
            <w:vAlign w:val="center"/>
          </w:tcPr>
          <w:p w14:paraId="1A47ED06" w14:textId="493F70D5" w:rsidR="00DB5C6C" w:rsidRPr="003A7C01" w:rsidRDefault="006A1D49" w:rsidP="00DB5C6C">
            <w:pPr>
              <w:spacing w:after="0" w:line="240" w:lineRule="auto"/>
              <w:jc w:val="center"/>
              <w:rPr>
                <w:rFonts w:cs="Arial"/>
                <w:color w:val="000000"/>
                <w:lang w:eastAsia="zh-CN" w:bidi="th-TH"/>
              </w:rPr>
            </w:pPr>
            <w:r>
              <w:rPr>
                <w:rFonts w:cs="Arial"/>
                <w:color w:val="000000" w:themeColor="text1"/>
                <w:lang w:eastAsia="zh-CN" w:bidi="th-TH"/>
              </w:rPr>
              <w:t>17,100</w:t>
            </w:r>
          </w:p>
        </w:tc>
      </w:tr>
      <w:tr w:rsidR="00DB5C6C" w:rsidRPr="003A7C01" w14:paraId="46E9D18E" w14:textId="77777777" w:rsidTr="002F2070">
        <w:trPr>
          <w:cantSplit/>
          <w:trHeight w:val="856"/>
        </w:trPr>
        <w:tc>
          <w:tcPr>
            <w:tcW w:w="4158" w:type="dxa"/>
            <w:shd w:val="clear" w:color="auto" w:fill="auto"/>
            <w:vAlign w:val="center"/>
            <w:hideMark/>
          </w:tcPr>
          <w:p w14:paraId="04529C4B" w14:textId="77777777" w:rsidR="00DB5C6C" w:rsidRPr="003A7C01" w:rsidRDefault="00DB5C6C" w:rsidP="00DB5C6C">
            <w:pPr>
              <w:spacing w:after="0" w:line="240" w:lineRule="auto"/>
              <w:rPr>
                <w:rFonts w:cs="Arial"/>
                <w:color w:val="000000"/>
                <w:szCs w:val="22"/>
                <w:lang w:eastAsia="zh-CN" w:bidi="th-TH"/>
              </w:rPr>
            </w:pPr>
            <w:r w:rsidRPr="003A7C01">
              <w:rPr>
                <w:rFonts w:cs="Arial"/>
                <w:color w:val="000000"/>
                <w:szCs w:val="22"/>
                <w:lang w:eastAsia="zh-CN" w:bidi="th-TH"/>
              </w:rPr>
              <w:t>IMHA advocacy and self-advocacy</w:t>
            </w:r>
          </w:p>
        </w:tc>
        <w:tc>
          <w:tcPr>
            <w:tcW w:w="1890" w:type="dxa"/>
            <w:shd w:val="clear" w:color="auto" w:fill="auto"/>
            <w:vAlign w:val="center"/>
          </w:tcPr>
          <w:p w14:paraId="15F0812B" w14:textId="21D86F27" w:rsidR="00DB5C6C" w:rsidRDefault="00DB5C6C" w:rsidP="00DB5C6C">
            <w:pPr>
              <w:spacing w:after="0" w:line="240" w:lineRule="auto"/>
              <w:jc w:val="center"/>
              <w:rPr>
                <w:rFonts w:cs="Arial"/>
                <w:color w:val="000000" w:themeColor="text1"/>
                <w:lang w:eastAsia="zh-CN" w:bidi="th-TH"/>
              </w:rPr>
            </w:pPr>
            <w:r w:rsidRPr="0B2DEDFC">
              <w:rPr>
                <w:rFonts w:cs="Arial"/>
                <w:color w:val="000000" w:themeColor="text1"/>
                <w:lang w:eastAsia="zh-CN" w:bidi="th-TH"/>
              </w:rPr>
              <w:t>13,782</w:t>
            </w:r>
          </w:p>
        </w:tc>
        <w:tc>
          <w:tcPr>
            <w:tcW w:w="1890" w:type="dxa"/>
            <w:shd w:val="clear" w:color="auto" w:fill="D9D9D9" w:themeFill="background1" w:themeFillShade="D9"/>
            <w:vAlign w:val="center"/>
          </w:tcPr>
          <w:p w14:paraId="44A60C59" w14:textId="4F013E8A" w:rsidR="00DB5C6C" w:rsidRPr="003A7C01" w:rsidRDefault="00A43C11" w:rsidP="00DB5C6C">
            <w:pPr>
              <w:spacing w:after="0" w:line="240" w:lineRule="auto"/>
              <w:jc w:val="center"/>
              <w:rPr>
                <w:rFonts w:cs="Arial"/>
                <w:color w:val="000000"/>
                <w:lang w:eastAsia="zh-CN" w:bidi="th-TH"/>
              </w:rPr>
            </w:pPr>
            <w:r>
              <w:rPr>
                <w:rFonts w:cs="Arial"/>
                <w:color w:val="000000" w:themeColor="text1"/>
                <w:lang w:eastAsia="zh-CN" w:bidi="th-TH"/>
              </w:rPr>
              <w:t>13,</w:t>
            </w:r>
            <w:r w:rsidR="52A4D970" w:rsidRPr="1E3260B8">
              <w:rPr>
                <w:rFonts w:cs="Arial"/>
                <w:color w:val="000000" w:themeColor="text1"/>
                <w:lang w:eastAsia="zh-CN" w:bidi="th-TH"/>
              </w:rPr>
              <w:t>536</w:t>
            </w:r>
          </w:p>
        </w:tc>
        <w:tc>
          <w:tcPr>
            <w:tcW w:w="1890" w:type="dxa"/>
            <w:shd w:val="clear" w:color="auto" w:fill="auto"/>
            <w:vAlign w:val="center"/>
          </w:tcPr>
          <w:p w14:paraId="31348547" w14:textId="5FD36CB2" w:rsidR="00DB5C6C" w:rsidRPr="003A7C01" w:rsidRDefault="006A1D49" w:rsidP="00DB5C6C">
            <w:pPr>
              <w:spacing w:after="0" w:line="240" w:lineRule="auto"/>
              <w:jc w:val="center"/>
              <w:rPr>
                <w:rFonts w:cs="Arial"/>
                <w:color w:val="000000"/>
                <w:lang w:eastAsia="zh-CN" w:bidi="th-TH"/>
              </w:rPr>
            </w:pPr>
            <w:r>
              <w:rPr>
                <w:rFonts w:cs="Arial"/>
                <w:color w:val="000000" w:themeColor="text1"/>
                <w:lang w:eastAsia="zh-CN" w:bidi="th-TH"/>
              </w:rPr>
              <w:t>13,500</w:t>
            </w:r>
          </w:p>
        </w:tc>
      </w:tr>
      <w:tr w:rsidR="00DB5C6C" w:rsidRPr="003A7C01" w14:paraId="533F6A55" w14:textId="77777777" w:rsidTr="002F2070">
        <w:trPr>
          <w:cantSplit/>
          <w:trHeight w:val="856"/>
        </w:trPr>
        <w:tc>
          <w:tcPr>
            <w:tcW w:w="4158" w:type="dxa"/>
            <w:shd w:val="clear" w:color="auto" w:fill="auto"/>
            <w:vAlign w:val="center"/>
            <w:hideMark/>
          </w:tcPr>
          <w:p w14:paraId="1319097C" w14:textId="77777777" w:rsidR="00DB5C6C" w:rsidRPr="003A7C01" w:rsidRDefault="00DB5C6C" w:rsidP="00DB5C6C">
            <w:pPr>
              <w:spacing w:after="0" w:line="240" w:lineRule="auto"/>
              <w:rPr>
                <w:rFonts w:cs="Arial"/>
                <w:color w:val="000000"/>
                <w:szCs w:val="22"/>
                <w:lang w:eastAsia="zh-CN" w:bidi="th-TH"/>
              </w:rPr>
            </w:pPr>
            <w:r w:rsidRPr="003A7C01">
              <w:rPr>
                <w:rFonts w:cs="Arial"/>
                <w:color w:val="000000"/>
                <w:szCs w:val="22"/>
                <w:lang w:eastAsia="zh-CN" w:bidi="th-TH"/>
              </w:rPr>
              <w:t xml:space="preserve">IFAS information and referral sessions </w:t>
            </w:r>
          </w:p>
        </w:tc>
        <w:tc>
          <w:tcPr>
            <w:tcW w:w="1890" w:type="dxa"/>
            <w:shd w:val="clear" w:color="auto" w:fill="auto"/>
            <w:vAlign w:val="center"/>
          </w:tcPr>
          <w:p w14:paraId="4F56ED37" w14:textId="4CFDE545" w:rsidR="00DB5C6C" w:rsidRDefault="00DB5C6C" w:rsidP="00DB5C6C">
            <w:pPr>
              <w:spacing w:after="0" w:line="240" w:lineRule="auto"/>
              <w:jc w:val="center"/>
              <w:rPr>
                <w:rFonts w:cs="Arial"/>
                <w:color w:val="000000" w:themeColor="text1"/>
                <w:lang w:eastAsia="zh-CN" w:bidi="th-TH"/>
              </w:rPr>
            </w:pPr>
            <w:r w:rsidRPr="0B2DEDFC">
              <w:rPr>
                <w:rFonts w:cs="Arial"/>
                <w:color w:val="000000" w:themeColor="text1"/>
                <w:lang w:eastAsia="zh-CN" w:bidi="th-TH"/>
              </w:rPr>
              <w:t>1,004</w:t>
            </w:r>
          </w:p>
        </w:tc>
        <w:tc>
          <w:tcPr>
            <w:tcW w:w="1890" w:type="dxa"/>
            <w:shd w:val="clear" w:color="auto" w:fill="D9D9D9" w:themeFill="background1" w:themeFillShade="D9"/>
            <w:vAlign w:val="center"/>
          </w:tcPr>
          <w:p w14:paraId="4A530CAC" w14:textId="7DC90C18" w:rsidR="00DB5C6C" w:rsidRPr="003A7C01" w:rsidRDefault="1BC6C284" w:rsidP="00DB5C6C">
            <w:pPr>
              <w:spacing w:after="0" w:line="240" w:lineRule="auto"/>
              <w:jc w:val="center"/>
              <w:rPr>
                <w:rFonts w:eastAsia="Arial" w:cs="Arial"/>
                <w:szCs w:val="22"/>
              </w:rPr>
            </w:pPr>
            <w:r w:rsidRPr="1E3260B8">
              <w:rPr>
                <w:rFonts w:cs="Arial"/>
                <w:color w:val="000000" w:themeColor="text1"/>
                <w:lang w:eastAsia="zh-CN" w:bidi="th-TH"/>
              </w:rPr>
              <w:t>557</w:t>
            </w:r>
          </w:p>
        </w:tc>
        <w:tc>
          <w:tcPr>
            <w:tcW w:w="1890" w:type="dxa"/>
            <w:shd w:val="clear" w:color="auto" w:fill="auto"/>
            <w:vAlign w:val="center"/>
          </w:tcPr>
          <w:p w14:paraId="6F19FE58" w14:textId="248A6E6E" w:rsidR="00DB5C6C" w:rsidRPr="003A7C01" w:rsidRDefault="004C6471" w:rsidP="00DB5C6C">
            <w:pPr>
              <w:spacing w:after="0" w:line="240" w:lineRule="auto"/>
              <w:jc w:val="center"/>
              <w:rPr>
                <w:rFonts w:cs="Arial"/>
                <w:color w:val="000000"/>
                <w:lang w:eastAsia="zh-CN" w:bidi="th-TH"/>
              </w:rPr>
            </w:pPr>
            <w:r>
              <w:rPr>
                <w:rFonts w:cs="Arial"/>
                <w:color w:val="000000" w:themeColor="text1"/>
                <w:lang w:eastAsia="zh-CN" w:bidi="th-TH"/>
              </w:rPr>
              <w:t>700</w:t>
            </w:r>
          </w:p>
        </w:tc>
      </w:tr>
      <w:tr w:rsidR="00DB5C6C" w:rsidRPr="003A7C01" w14:paraId="5F5037E4" w14:textId="77777777" w:rsidTr="002F2070">
        <w:trPr>
          <w:cantSplit/>
          <w:trHeight w:val="856"/>
        </w:trPr>
        <w:tc>
          <w:tcPr>
            <w:tcW w:w="4158" w:type="dxa"/>
            <w:shd w:val="clear" w:color="auto" w:fill="auto"/>
            <w:vAlign w:val="center"/>
            <w:hideMark/>
          </w:tcPr>
          <w:p w14:paraId="42DF1C2A" w14:textId="77777777" w:rsidR="00DB5C6C" w:rsidRPr="003A7C01" w:rsidRDefault="00DB5C6C" w:rsidP="00DB5C6C">
            <w:pPr>
              <w:spacing w:after="0" w:line="240" w:lineRule="auto"/>
              <w:rPr>
                <w:rFonts w:cs="Arial"/>
                <w:color w:val="000000"/>
                <w:szCs w:val="22"/>
                <w:lang w:eastAsia="zh-CN" w:bidi="th-TH"/>
              </w:rPr>
            </w:pPr>
            <w:r w:rsidRPr="003A7C01">
              <w:rPr>
                <w:rFonts w:cs="Arial"/>
                <w:color w:val="000000"/>
                <w:szCs w:val="22"/>
                <w:lang w:eastAsia="zh-CN" w:bidi="th-TH"/>
              </w:rPr>
              <w:t>IFAS advocacy and self-advocacy</w:t>
            </w:r>
          </w:p>
        </w:tc>
        <w:tc>
          <w:tcPr>
            <w:tcW w:w="1890" w:type="dxa"/>
            <w:shd w:val="clear" w:color="auto" w:fill="auto"/>
            <w:vAlign w:val="center"/>
          </w:tcPr>
          <w:p w14:paraId="2E650DC9" w14:textId="6DBB2E33" w:rsidR="00DB5C6C" w:rsidRDefault="00DB5C6C" w:rsidP="00DB5C6C">
            <w:pPr>
              <w:spacing w:after="0" w:line="240" w:lineRule="auto"/>
              <w:jc w:val="center"/>
              <w:rPr>
                <w:rFonts w:cs="Arial"/>
                <w:color w:val="000000" w:themeColor="text1"/>
                <w:lang w:eastAsia="zh-CN" w:bidi="th-TH"/>
              </w:rPr>
            </w:pPr>
            <w:r w:rsidRPr="0B2DEDFC">
              <w:rPr>
                <w:rFonts w:cs="Arial"/>
                <w:color w:val="000000" w:themeColor="text1"/>
                <w:lang w:eastAsia="zh-CN" w:bidi="th-TH"/>
              </w:rPr>
              <w:t>834</w:t>
            </w:r>
          </w:p>
        </w:tc>
        <w:tc>
          <w:tcPr>
            <w:tcW w:w="1890" w:type="dxa"/>
            <w:shd w:val="clear" w:color="auto" w:fill="D9D9D9" w:themeFill="background1" w:themeFillShade="D9"/>
            <w:vAlign w:val="center"/>
          </w:tcPr>
          <w:p w14:paraId="662DD450" w14:textId="24E1FE5D" w:rsidR="00DB5C6C" w:rsidRPr="003A7C01" w:rsidRDefault="2EFF8F98" w:rsidP="00DB5C6C">
            <w:pPr>
              <w:spacing w:after="0" w:line="240" w:lineRule="auto"/>
              <w:jc w:val="center"/>
              <w:rPr>
                <w:rFonts w:eastAsia="Arial" w:cs="Arial"/>
                <w:szCs w:val="22"/>
              </w:rPr>
            </w:pPr>
            <w:r w:rsidRPr="1E3260B8">
              <w:rPr>
                <w:rFonts w:cs="Arial"/>
                <w:color w:val="000000" w:themeColor="text1"/>
                <w:lang w:eastAsia="zh-CN" w:bidi="th-TH"/>
              </w:rPr>
              <w:t>570</w:t>
            </w:r>
          </w:p>
        </w:tc>
        <w:tc>
          <w:tcPr>
            <w:tcW w:w="1890" w:type="dxa"/>
            <w:shd w:val="clear" w:color="auto" w:fill="auto"/>
            <w:vAlign w:val="center"/>
          </w:tcPr>
          <w:p w14:paraId="0736E086" w14:textId="2D270718" w:rsidR="00DB5C6C" w:rsidRPr="003A7C01" w:rsidRDefault="00ED4FC5" w:rsidP="00DB5C6C">
            <w:pPr>
              <w:spacing w:after="0" w:line="240" w:lineRule="auto"/>
              <w:jc w:val="center"/>
              <w:rPr>
                <w:rFonts w:cs="Arial"/>
                <w:color w:val="000000"/>
                <w:lang w:eastAsia="zh-CN" w:bidi="th-TH"/>
              </w:rPr>
            </w:pPr>
            <w:r>
              <w:rPr>
                <w:rFonts w:cs="Arial"/>
                <w:color w:val="000000" w:themeColor="text1"/>
                <w:lang w:eastAsia="zh-CN" w:bidi="th-TH"/>
              </w:rPr>
              <w:t>650</w:t>
            </w:r>
          </w:p>
        </w:tc>
      </w:tr>
    </w:tbl>
    <w:p w14:paraId="4B50D7AB" w14:textId="64CD1571" w:rsidR="009656BE" w:rsidRPr="00B067B4" w:rsidRDefault="009656BE" w:rsidP="009656BE">
      <w:pPr>
        <w:pStyle w:val="Heading2"/>
      </w:pPr>
      <w:r w:rsidRPr="009C7A44">
        <w:rPr>
          <w:rFonts w:eastAsia="Arial Bold"/>
        </w:rPr>
        <w:t xml:space="preserve">Financial </w:t>
      </w:r>
      <w:r w:rsidR="002F2070" w:rsidRPr="009C7A44">
        <w:rPr>
          <w:rFonts w:eastAsia="Arial Bold"/>
        </w:rPr>
        <w:t>summary</w:t>
      </w:r>
    </w:p>
    <w:p w14:paraId="04286EE6" w14:textId="0E20D054" w:rsidR="002F71D3" w:rsidRDefault="009C0A93" w:rsidP="0B2DEDFC">
      <w:r>
        <w:t>In quarter one, our</w:t>
      </w:r>
      <w:r w:rsidR="006D40B4">
        <w:t xml:space="preserve"> consolidated</w:t>
      </w:r>
      <w:r w:rsidR="003E1357">
        <w:t xml:space="preserve"> operating position </w:t>
      </w:r>
      <w:r w:rsidR="00165DEF">
        <w:t xml:space="preserve">was </w:t>
      </w:r>
      <w:r w:rsidR="002924EE">
        <w:t>a</w:t>
      </w:r>
      <w:r w:rsidR="6D4CB8F7">
        <w:t xml:space="preserve"> small</w:t>
      </w:r>
      <w:r w:rsidR="003E1357">
        <w:t xml:space="preserve"> deficit of $0.5 million. </w:t>
      </w:r>
    </w:p>
    <w:p w14:paraId="1E35D324" w14:textId="788C0564" w:rsidR="002F71D3" w:rsidRDefault="342E0343" w:rsidP="0772CDE7">
      <w:r>
        <w:t>We a</w:t>
      </w:r>
      <w:r w:rsidR="3C3D9C27">
        <w:t>re</w:t>
      </w:r>
      <w:r>
        <w:t xml:space="preserve"> projecting a further deficit in 2024-25 </w:t>
      </w:r>
      <w:r w:rsidR="272E77D2">
        <w:t xml:space="preserve">which is being </w:t>
      </w:r>
      <w:r>
        <w:t>driven by a core funding shortfall</w:t>
      </w:r>
      <w:r w:rsidR="3030AB42">
        <w:t xml:space="preserve"> that </w:t>
      </w:r>
      <w:r w:rsidR="65A99DD9">
        <w:t>is</w:t>
      </w:r>
      <w:r w:rsidR="542EC2D3">
        <w:t xml:space="preserve"> </w:t>
      </w:r>
      <w:r w:rsidR="65A99DD9">
        <w:t>n</w:t>
      </w:r>
      <w:r w:rsidR="542EC2D3">
        <w:t>o</w:t>
      </w:r>
      <w:r w:rsidR="65A99DD9">
        <w:t>t expected to be fully offset by an easing of</w:t>
      </w:r>
      <w:r w:rsidR="45435AC2">
        <w:t xml:space="preserve"> </w:t>
      </w:r>
      <w:r w:rsidR="559A0DB6">
        <w:t xml:space="preserve">external </w:t>
      </w:r>
      <w:r w:rsidR="12D7284D">
        <w:t>demand</w:t>
      </w:r>
      <w:r w:rsidR="65A99DD9">
        <w:t xml:space="preserve">. </w:t>
      </w:r>
      <w:r w:rsidR="7C5976E7">
        <w:t>Also c</w:t>
      </w:r>
      <w:r w:rsidR="62204D63">
        <w:t xml:space="preserve">ontributing to this deficit is the timing of </w:t>
      </w:r>
      <w:r w:rsidR="5150E43A">
        <w:t xml:space="preserve">when </w:t>
      </w:r>
      <w:r w:rsidR="006D015D">
        <w:t xml:space="preserve">we receive </w:t>
      </w:r>
      <w:r w:rsidR="5DA32986">
        <w:t>funding</w:t>
      </w:r>
      <w:r w:rsidR="0E6073EB">
        <w:t xml:space="preserve"> </w:t>
      </w:r>
      <w:r w:rsidR="58902A9D">
        <w:t>for our initiative</w:t>
      </w:r>
      <w:r w:rsidR="5E10D492">
        <w:t xml:space="preserve"> projects</w:t>
      </w:r>
      <w:r w:rsidR="58902A9D">
        <w:t xml:space="preserve"> </w:t>
      </w:r>
      <w:r w:rsidR="00BB225D">
        <w:t>as well as</w:t>
      </w:r>
      <w:r w:rsidR="6A297AAD">
        <w:t xml:space="preserve"> </w:t>
      </w:r>
      <w:r w:rsidR="573B672A">
        <w:t>when that funding is spent</w:t>
      </w:r>
      <w:r w:rsidR="6A297AAD">
        <w:t xml:space="preserve">, </w:t>
      </w:r>
      <w:r w:rsidR="62204D63">
        <w:t xml:space="preserve">which is aligned with court activity </w:t>
      </w:r>
      <w:r w:rsidR="006D015D">
        <w:t xml:space="preserve">and can </w:t>
      </w:r>
      <w:r w:rsidR="62204D63">
        <w:t>span multiple years</w:t>
      </w:r>
      <w:r w:rsidR="54314160">
        <w:t>.</w:t>
      </w:r>
      <w:r w:rsidR="69BB83B7">
        <w:t xml:space="preserve"> Due to this timing issue, the funding received for these initiatives in previous financial years </w:t>
      </w:r>
      <w:r w:rsidR="2F2B7F4A">
        <w:t xml:space="preserve">is </w:t>
      </w:r>
      <w:r w:rsidR="69BB83B7">
        <w:t xml:space="preserve">also contributing to </w:t>
      </w:r>
      <w:r w:rsidR="2F2B7F4A">
        <w:t xml:space="preserve">a </w:t>
      </w:r>
      <w:proofErr w:type="gramStart"/>
      <w:r w:rsidR="69BB83B7">
        <w:t>higher</w:t>
      </w:r>
      <w:r w:rsidR="2569DE62">
        <w:t xml:space="preserve"> t</w:t>
      </w:r>
      <w:r w:rsidR="69BB83B7">
        <w:t>han</w:t>
      </w:r>
      <w:r w:rsidR="271F8B8E">
        <w:t xml:space="preserve"> </w:t>
      </w:r>
      <w:r w:rsidR="69BB83B7">
        <w:t>expected</w:t>
      </w:r>
      <w:proofErr w:type="gramEnd"/>
      <w:r w:rsidR="69BB83B7">
        <w:t xml:space="preserve"> cash balance.  </w:t>
      </w:r>
    </w:p>
    <w:p w14:paraId="1784ACFB" w14:textId="46CFDE65" w:rsidR="00805BF6" w:rsidRPr="002F2070" w:rsidRDefault="2B39AA86" w:rsidP="002F2070">
      <w:pPr>
        <w:rPr>
          <w:rStyle w:val="Heading3Char"/>
          <w:rFonts w:cs="Times New Roman"/>
          <w:b w:val="0"/>
          <w:bCs w:val="0"/>
          <w:sz w:val="22"/>
          <w:szCs w:val="24"/>
          <w:lang w:eastAsia="en-US"/>
        </w:rPr>
      </w:pPr>
      <w:r>
        <w:t>W</w:t>
      </w:r>
      <w:r w:rsidR="006A1391">
        <w:t>e project</w:t>
      </w:r>
      <w:r w:rsidR="46C519C2">
        <w:t xml:space="preserve"> that our</w:t>
      </w:r>
      <w:r w:rsidR="006A1391">
        <w:t xml:space="preserve"> current cash reserves will be sufficient to meet th</w:t>
      </w:r>
      <w:r w:rsidR="7BF538C9">
        <w:t>is</w:t>
      </w:r>
      <w:r w:rsidR="006A1391">
        <w:t xml:space="preserve"> projected deficit in 2024-25</w:t>
      </w:r>
      <w:r w:rsidR="00DC479A">
        <w:t xml:space="preserve"> </w:t>
      </w:r>
      <w:r w:rsidR="00096976">
        <w:t xml:space="preserve">which </w:t>
      </w:r>
      <w:r w:rsidR="00DC479A">
        <w:t>defer</w:t>
      </w:r>
      <w:r w:rsidR="09B84125">
        <w:t>s</w:t>
      </w:r>
      <w:r w:rsidR="00DC479A">
        <w:t xml:space="preserve"> the need for service reductions, </w:t>
      </w:r>
      <w:r w:rsidR="66398782">
        <w:t>however,</w:t>
      </w:r>
      <w:r w:rsidR="00DC479A">
        <w:t xml:space="preserve"> </w:t>
      </w:r>
      <w:r w:rsidR="00674815">
        <w:t>drawing on cash reserves is</w:t>
      </w:r>
      <w:r w:rsidR="2F482059">
        <w:t xml:space="preserve"> not </w:t>
      </w:r>
      <w:r w:rsidR="00DC479A">
        <w:t>sustainable in the longer term.</w:t>
      </w:r>
      <w:r w:rsidR="0D43D73C">
        <w:t xml:space="preserve"> In the absence of additional funding, we </w:t>
      </w:r>
      <w:r w:rsidR="00674815">
        <w:t xml:space="preserve">will </w:t>
      </w:r>
      <w:r w:rsidR="0D43D73C">
        <w:t xml:space="preserve">need to </w:t>
      </w:r>
      <w:r w:rsidR="50B68B6F">
        <w:t>m</w:t>
      </w:r>
      <w:r w:rsidR="000A1E3F">
        <w:t xml:space="preserve">anage </w:t>
      </w:r>
      <w:r w:rsidR="00DC479A">
        <w:t>our cash</w:t>
      </w:r>
      <w:r w:rsidR="000A1E3F">
        <w:t xml:space="preserve"> carefully to ensure</w:t>
      </w:r>
      <w:r w:rsidR="00C421AB">
        <w:t xml:space="preserve"> </w:t>
      </w:r>
      <w:r w:rsidR="6B3600E4">
        <w:t xml:space="preserve">that </w:t>
      </w:r>
      <w:r w:rsidR="00C421AB">
        <w:t>we can meet our existing legal aid grant commitments of up to $72m</w:t>
      </w:r>
      <w:r w:rsidR="3902EBD6">
        <w:t xml:space="preserve"> (</w:t>
      </w:r>
      <w:r w:rsidR="00C421AB">
        <w:t>which have already been approved but where the work is yet to be completed</w:t>
      </w:r>
      <w:r w:rsidR="07722BA7">
        <w:t>) and future demand for core serv</w:t>
      </w:r>
      <w:r w:rsidR="54D3F8CB">
        <w:t xml:space="preserve">ices. Otherwise, we may need to consult sector partners on possible reductions to court-based services. </w:t>
      </w:r>
    </w:p>
    <w:p w14:paraId="7349F4EA" w14:textId="77777777" w:rsidR="002F2070" w:rsidRDefault="002F2070">
      <w:pPr>
        <w:spacing w:after="0" w:line="240" w:lineRule="auto"/>
        <w:rPr>
          <w:rStyle w:val="Heading3Char"/>
          <w:sz w:val="24"/>
          <w:szCs w:val="24"/>
        </w:rPr>
      </w:pPr>
      <w:r>
        <w:rPr>
          <w:rStyle w:val="Heading3Char"/>
          <w:sz w:val="24"/>
          <w:szCs w:val="24"/>
        </w:rPr>
        <w:lastRenderedPageBreak/>
        <w:br w:type="page"/>
      </w:r>
    </w:p>
    <w:p w14:paraId="67BD407C" w14:textId="7B57D316" w:rsidR="009656BE" w:rsidRPr="006663C9" w:rsidRDefault="009656BE" w:rsidP="002F2070">
      <w:pPr>
        <w:keepLines/>
      </w:pPr>
      <w:r w:rsidRPr="006663C9">
        <w:rPr>
          <w:rStyle w:val="Heading3Char"/>
          <w:sz w:val="24"/>
          <w:szCs w:val="24"/>
        </w:rPr>
        <w:t>Table 2.1 Total revenue breakdown ($’000</w:t>
      </w:r>
      <w:r w:rsidRPr="006663C9">
        <w:t xml:space="preserve">) </w:t>
      </w:r>
    </w:p>
    <w:tbl>
      <w:tblPr>
        <w:tblpPr w:leftFromText="180" w:rightFromText="180" w:vertAnchor="text" w:horzAnchor="margin" w:tblpY="72"/>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807"/>
        <w:gridCol w:w="1807"/>
        <w:gridCol w:w="1807"/>
      </w:tblGrid>
      <w:tr w:rsidR="00181C91" w:rsidRPr="003A7C01" w14:paraId="45218C06" w14:textId="77777777" w:rsidTr="002F2070">
        <w:trPr>
          <w:cantSplit/>
          <w:trHeight w:val="200"/>
          <w:tblHeader/>
        </w:trPr>
        <w:tc>
          <w:tcPr>
            <w:tcW w:w="4074" w:type="dxa"/>
            <w:vMerge w:val="restart"/>
            <w:shd w:val="clear" w:color="auto" w:fill="B59CC0"/>
            <w:vAlign w:val="center"/>
            <w:hideMark/>
          </w:tcPr>
          <w:p w14:paraId="54E770F5" w14:textId="77777777" w:rsidR="00181C91" w:rsidRPr="003A7C01" w:rsidRDefault="00181C91" w:rsidP="002F2070">
            <w:pPr>
              <w:keepLines/>
              <w:spacing w:after="0" w:line="240" w:lineRule="auto"/>
              <w:rPr>
                <w:rFonts w:cs="Arial"/>
                <w:b/>
                <w:bCs/>
                <w:color w:val="000000"/>
                <w:szCs w:val="22"/>
                <w:lang w:eastAsia="zh-CN" w:bidi="th-TH"/>
              </w:rPr>
            </w:pPr>
            <w:r w:rsidRPr="003A7C01">
              <w:rPr>
                <w:rFonts w:cs="Arial"/>
                <w:b/>
                <w:bCs/>
                <w:color w:val="000000"/>
                <w:szCs w:val="22"/>
                <w:lang w:eastAsia="zh-CN" w:bidi="th-TH"/>
              </w:rPr>
              <w:t>Revenue</w:t>
            </w:r>
            <w:r w:rsidRPr="003A7C01">
              <w:rPr>
                <w:rFonts w:cs="Arial"/>
                <w:color w:val="000000"/>
                <w:szCs w:val="22"/>
                <w:lang w:eastAsia="zh-CN" w:bidi="th-TH"/>
              </w:rPr>
              <w:t> </w:t>
            </w:r>
          </w:p>
        </w:tc>
        <w:tc>
          <w:tcPr>
            <w:tcW w:w="1807" w:type="dxa"/>
            <w:tcBorders>
              <w:bottom w:val="nil"/>
            </w:tcBorders>
            <w:shd w:val="clear" w:color="auto" w:fill="B59CC0"/>
            <w:vAlign w:val="center"/>
            <w:hideMark/>
          </w:tcPr>
          <w:p w14:paraId="5CA74BA8" w14:textId="6C632853" w:rsidR="0B2DEDFC" w:rsidRDefault="0B2DEDFC" w:rsidP="002F2070">
            <w:pPr>
              <w:keepLines/>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Q</w:t>
            </w:r>
            <w:r w:rsidR="00D06950">
              <w:rPr>
                <w:rFonts w:cs="Arial"/>
                <w:b/>
                <w:bCs/>
                <w:color w:val="000000" w:themeColor="text1"/>
                <w:lang w:eastAsia="zh-CN" w:bidi="th-TH"/>
              </w:rPr>
              <w:t>4</w:t>
            </w:r>
          </w:p>
        </w:tc>
        <w:tc>
          <w:tcPr>
            <w:tcW w:w="1807" w:type="dxa"/>
            <w:tcBorders>
              <w:bottom w:val="nil"/>
            </w:tcBorders>
            <w:shd w:val="clear" w:color="auto" w:fill="B59CC0"/>
            <w:vAlign w:val="center"/>
            <w:hideMark/>
          </w:tcPr>
          <w:p w14:paraId="6DDBBCD0" w14:textId="330EE566" w:rsidR="00181C91" w:rsidRPr="003A7C01" w:rsidRDefault="1C179972" w:rsidP="002F2070">
            <w:pPr>
              <w:keepLines/>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331137">
              <w:rPr>
                <w:rFonts w:cs="Arial"/>
                <w:b/>
                <w:bCs/>
                <w:color w:val="000000" w:themeColor="text1"/>
                <w:lang w:eastAsia="zh-CN" w:bidi="th-TH"/>
              </w:rPr>
              <w:t>1</w:t>
            </w:r>
          </w:p>
        </w:tc>
        <w:tc>
          <w:tcPr>
            <w:tcW w:w="1807" w:type="dxa"/>
            <w:tcBorders>
              <w:bottom w:val="nil"/>
            </w:tcBorders>
            <w:shd w:val="clear" w:color="auto" w:fill="B59CC0"/>
            <w:vAlign w:val="center"/>
            <w:hideMark/>
          </w:tcPr>
          <w:p w14:paraId="21E7652F" w14:textId="5D834D99" w:rsidR="00181C91" w:rsidRPr="003A7C01" w:rsidRDefault="021D6073" w:rsidP="002F2070">
            <w:pPr>
              <w:keepLines/>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D06950">
              <w:rPr>
                <w:rFonts w:cs="Arial"/>
                <w:b/>
                <w:bCs/>
                <w:color w:val="000000" w:themeColor="text1"/>
                <w:lang w:eastAsia="zh-CN" w:bidi="th-TH"/>
              </w:rPr>
              <w:t>2</w:t>
            </w:r>
            <w:r w:rsidRPr="0B2DEDFC">
              <w:rPr>
                <w:rFonts w:cs="Arial"/>
                <w:b/>
                <w:bCs/>
                <w:color w:val="000000" w:themeColor="text1"/>
                <w:lang w:eastAsia="zh-CN" w:bidi="th-TH"/>
              </w:rPr>
              <w:t xml:space="preserve"> 202</w:t>
            </w:r>
            <w:r w:rsidR="3C93DDF2" w:rsidRPr="0B2DEDFC">
              <w:rPr>
                <w:rFonts w:cs="Arial"/>
                <w:b/>
                <w:bCs/>
                <w:color w:val="000000" w:themeColor="text1"/>
                <w:lang w:eastAsia="zh-CN" w:bidi="th-TH"/>
              </w:rPr>
              <w:t>4</w:t>
            </w:r>
            <w:r w:rsidRPr="0B2DEDFC">
              <w:rPr>
                <w:rFonts w:cs="Arial"/>
                <w:b/>
                <w:bCs/>
                <w:color w:val="000000" w:themeColor="text1"/>
                <w:lang w:eastAsia="zh-CN" w:bidi="th-TH"/>
              </w:rPr>
              <w:t>-2</w:t>
            </w:r>
            <w:r w:rsidR="17D2C55D" w:rsidRPr="0B2DEDFC">
              <w:rPr>
                <w:rFonts w:cs="Arial"/>
                <w:b/>
                <w:bCs/>
                <w:color w:val="000000" w:themeColor="text1"/>
                <w:lang w:eastAsia="zh-CN" w:bidi="th-TH"/>
              </w:rPr>
              <w:t>5</w:t>
            </w:r>
          </w:p>
        </w:tc>
      </w:tr>
      <w:tr w:rsidR="00181C91" w:rsidRPr="003A7C01" w14:paraId="01DD16FE" w14:textId="77777777" w:rsidTr="002F2070">
        <w:trPr>
          <w:cantSplit/>
          <w:trHeight w:val="200"/>
          <w:tblHeader/>
        </w:trPr>
        <w:tc>
          <w:tcPr>
            <w:tcW w:w="4074" w:type="dxa"/>
            <w:vMerge/>
            <w:vAlign w:val="center"/>
            <w:hideMark/>
          </w:tcPr>
          <w:p w14:paraId="330594C0" w14:textId="77777777" w:rsidR="00181C91" w:rsidRPr="003A7C01" w:rsidRDefault="00181C91" w:rsidP="002F2070">
            <w:pPr>
              <w:keepLines/>
              <w:spacing w:after="0" w:line="240" w:lineRule="auto"/>
              <w:rPr>
                <w:rFonts w:cs="Arial"/>
                <w:b/>
                <w:bCs/>
                <w:color w:val="000000"/>
                <w:szCs w:val="22"/>
                <w:lang w:eastAsia="zh-CN" w:bidi="th-TH"/>
              </w:rPr>
            </w:pPr>
          </w:p>
        </w:tc>
        <w:tc>
          <w:tcPr>
            <w:tcW w:w="1807" w:type="dxa"/>
            <w:tcBorders>
              <w:top w:val="nil"/>
            </w:tcBorders>
            <w:shd w:val="clear" w:color="auto" w:fill="B59CC0"/>
            <w:vAlign w:val="center"/>
            <w:hideMark/>
          </w:tcPr>
          <w:p w14:paraId="35075E5C" w14:textId="77777777" w:rsidR="0B2DEDFC" w:rsidRDefault="0B2DEDFC" w:rsidP="002F2070">
            <w:pPr>
              <w:keepLines/>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2023-24 </w:t>
            </w:r>
          </w:p>
        </w:tc>
        <w:tc>
          <w:tcPr>
            <w:tcW w:w="1807" w:type="dxa"/>
            <w:tcBorders>
              <w:top w:val="nil"/>
            </w:tcBorders>
            <w:shd w:val="clear" w:color="auto" w:fill="B59CC0"/>
            <w:vAlign w:val="center"/>
            <w:hideMark/>
          </w:tcPr>
          <w:p w14:paraId="41789E68" w14:textId="18A1BDDD" w:rsidR="00181C91" w:rsidRPr="003A7C01" w:rsidRDefault="00181C91" w:rsidP="002F2070">
            <w:pPr>
              <w:keepLines/>
              <w:spacing w:after="0" w:line="240" w:lineRule="auto"/>
              <w:jc w:val="center"/>
              <w:rPr>
                <w:rFonts w:cs="Arial"/>
                <w:b/>
                <w:bCs/>
                <w:color w:val="000000"/>
                <w:szCs w:val="22"/>
                <w:lang w:eastAsia="zh-CN" w:bidi="th-TH"/>
              </w:rPr>
            </w:pPr>
            <w:r w:rsidRPr="003A7C01">
              <w:rPr>
                <w:rFonts w:cs="Arial"/>
                <w:b/>
                <w:bCs/>
                <w:color w:val="000000"/>
                <w:szCs w:val="22"/>
                <w:lang w:eastAsia="zh-CN" w:bidi="th-TH"/>
              </w:rPr>
              <w:t>202</w:t>
            </w:r>
            <w:r w:rsidR="00D06950">
              <w:rPr>
                <w:rFonts w:cs="Arial"/>
                <w:b/>
                <w:bCs/>
                <w:color w:val="000000"/>
                <w:szCs w:val="22"/>
                <w:lang w:eastAsia="zh-CN" w:bidi="th-TH"/>
              </w:rPr>
              <w:t>4</w:t>
            </w:r>
            <w:r w:rsidRPr="003A7C01">
              <w:rPr>
                <w:rFonts w:cs="Arial"/>
                <w:b/>
                <w:bCs/>
                <w:color w:val="000000"/>
                <w:szCs w:val="22"/>
                <w:lang w:eastAsia="zh-CN" w:bidi="th-TH"/>
              </w:rPr>
              <w:t>-2</w:t>
            </w:r>
            <w:r w:rsidR="00D06950">
              <w:rPr>
                <w:rFonts w:cs="Arial"/>
                <w:b/>
                <w:bCs/>
                <w:color w:val="000000"/>
                <w:szCs w:val="22"/>
                <w:lang w:eastAsia="zh-CN" w:bidi="th-TH"/>
              </w:rPr>
              <w:t>5</w:t>
            </w:r>
            <w:r w:rsidRPr="003A7C01">
              <w:rPr>
                <w:rFonts w:cs="Arial"/>
                <w:b/>
                <w:bCs/>
                <w:color w:val="000000"/>
                <w:szCs w:val="22"/>
                <w:lang w:eastAsia="zh-CN" w:bidi="th-TH"/>
              </w:rPr>
              <w:t> </w:t>
            </w:r>
          </w:p>
        </w:tc>
        <w:tc>
          <w:tcPr>
            <w:tcW w:w="1807" w:type="dxa"/>
            <w:tcBorders>
              <w:top w:val="nil"/>
            </w:tcBorders>
            <w:shd w:val="clear" w:color="auto" w:fill="B59CC0"/>
            <w:vAlign w:val="center"/>
            <w:hideMark/>
          </w:tcPr>
          <w:p w14:paraId="4B61CC07" w14:textId="77777777" w:rsidR="00181C91" w:rsidRPr="003A7C01" w:rsidRDefault="00181C91" w:rsidP="002F2070">
            <w:pPr>
              <w:keepLines/>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181C91" w:rsidRPr="003A7C01" w14:paraId="699DFD6F" w14:textId="77777777" w:rsidTr="002F2070">
        <w:trPr>
          <w:cantSplit/>
          <w:trHeight w:val="515"/>
        </w:trPr>
        <w:tc>
          <w:tcPr>
            <w:tcW w:w="4074" w:type="dxa"/>
            <w:shd w:val="clear" w:color="auto" w:fill="auto"/>
            <w:vAlign w:val="center"/>
            <w:hideMark/>
          </w:tcPr>
          <w:p w14:paraId="19C7B7B6" w14:textId="73276731" w:rsidR="00181C91" w:rsidRPr="003A7C01" w:rsidRDefault="00181C91" w:rsidP="002F2070">
            <w:pPr>
              <w:keepLines/>
              <w:spacing w:after="0" w:line="240" w:lineRule="auto"/>
              <w:rPr>
                <w:rFonts w:cs="Arial"/>
                <w:color w:val="000000"/>
                <w:szCs w:val="22"/>
                <w:lang w:eastAsia="zh-CN" w:bidi="th-TH"/>
              </w:rPr>
            </w:pPr>
            <w:r w:rsidRPr="003A7C01">
              <w:rPr>
                <w:rFonts w:cs="Arial"/>
                <w:color w:val="000000"/>
                <w:szCs w:val="22"/>
                <w:lang w:eastAsia="zh-CN" w:bidi="th-TH"/>
              </w:rPr>
              <w:t>Commonwealth</w:t>
            </w:r>
            <w:r w:rsidR="00296755">
              <w:rPr>
                <w:rFonts w:cs="Arial"/>
                <w:color w:val="000000"/>
                <w:szCs w:val="22"/>
                <w:lang w:eastAsia="zh-CN" w:bidi="th-TH"/>
              </w:rPr>
              <w:t xml:space="preserve"> </w:t>
            </w:r>
            <w:r w:rsidR="00296755">
              <w:rPr>
                <w:lang w:eastAsia="zh-CN" w:bidi="th-TH"/>
              </w:rPr>
              <w:t>Government</w:t>
            </w:r>
            <w:r w:rsidRPr="003A7C01">
              <w:rPr>
                <w:rFonts w:cs="Arial"/>
                <w:color w:val="000000"/>
                <w:szCs w:val="22"/>
                <w:lang w:eastAsia="zh-CN" w:bidi="th-TH"/>
              </w:rPr>
              <w:t xml:space="preserve"> – grants </w:t>
            </w:r>
          </w:p>
        </w:tc>
        <w:tc>
          <w:tcPr>
            <w:tcW w:w="1807" w:type="dxa"/>
            <w:shd w:val="clear" w:color="auto" w:fill="auto"/>
            <w:vAlign w:val="center"/>
            <w:hideMark/>
          </w:tcPr>
          <w:p w14:paraId="620AB593" w14:textId="0FFD760B" w:rsidR="0B2DEDFC" w:rsidRDefault="0021369C" w:rsidP="002F2070">
            <w:pPr>
              <w:keepLines/>
              <w:spacing w:after="0" w:line="240" w:lineRule="auto"/>
              <w:jc w:val="right"/>
              <w:rPr>
                <w:rFonts w:cs="Arial"/>
                <w:color w:val="000000" w:themeColor="text1"/>
                <w:lang w:eastAsia="zh-CN" w:bidi="th-TH"/>
              </w:rPr>
            </w:pPr>
            <w:r>
              <w:rPr>
                <w:rFonts w:cs="Arial"/>
                <w:color w:val="000000" w:themeColor="text1"/>
                <w:lang w:eastAsia="zh-CN" w:bidi="th-TH"/>
              </w:rPr>
              <w:t>31,141</w:t>
            </w:r>
          </w:p>
        </w:tc>
        <w:tc>
          <w:tcPr>
            <w:tcW w:w="1807" w:type="dxa"/>
            <w:shd w:val="clear" w:color="auto" w:fill="D9D9D9" w:themeFill="background1" w:themeFillShade="D9"/>
            <w:vAlign w:val="center"/>
            <w:hideMark/>
          </w:tcPr>
          <w:p w14:paraId="231B1648" w14:textId="09A644AA" w:rsidR="00181C91" w:rsidRPr="003A7C01" w:rsidRDefault="008C363F" w:rsidP="002F2070">
            <w:pPr>
              <w:keepLines/>
              <w:spacing w:after="0" w:line="240" w:lineRule="auto"/>
              <w:jc w:val="right"/>
              <w:rPr>
                <w:rFonts w:cs="Arial"/>
                <w:color w:val="000000"/>
                <w:lang w:eastAsia="zh-CN" w:bidi="th-TH"/>
              </w:rPr>
            </w:pPr>
            <w:r>
              <w:rPr>
                <w:rFonts w:cs="Arial"/>
                <w:color w:val="000000"/>
                <w:lang w:eastAsia="zh-CN" w:bidi="th-TH"/>
              </w:rPr>
              <w:t>26</w:t>
            </w:r>
            <w:r w:rsidR="00BA6908">
              <w:rPr>
                <w:rFonts w:cs="Arial"/>
                <w:color w:val="000000"/>
                <w:lang w:eastAsia="zh-CN" w:bidi="th-TH"/>
              </w:rPr>
              <w:t>,051</w:t>
            </w:r>
          </w:p>
        </w:tc>
        <w:tc>
          <w:tcPr>
            <w:tcW w:w="1807" w:type="dxa"/>
            <w:shd w:val="clear" w:color="auto" w:fill="auto"/>
            <w:vAlign w:val="center"/>
            <w:hideMark/>
          </w:tcPr>
          <w:p w14:paraId="6132817A" w14:textId="30FA3CA3" w:rsidR="00181C91" w:rsidRPr="003A7C01" w:rsidRDefault="003249C8" w:rsidP="002F2070">
            <w:pPr>
              <w:keepLines/>
              <w:spacing w:after="0" w:line="240" w:lineRule="auto"/>
              <w:jc w:val="right"/>
              <w:rPr>
                <w:rFonts w:cs="Arial"/>
                <w:color w:val="000000"/>
                <w:lang w:eastAsia="zh-CN" w:bidi="th-TH"/>
              </w:rPr>
            </w:pPr>
            <w:r>
              <w:rPr>
                <w:rFonts w:cs="Arial"/>
                <w:color w:val="000000"/>
                <w:lang w:eastAsia="zh-CN" w:bidi="th-TH"/>
              </w:rPr>
              <w:t>25,9</w:t>
            </w:r>
            <w:r w:rsidR="007E5B6E">
              <w:rPr>
                <w:rFonts w:cs="Arial"/>
                <w:color w:val="000000"/>
                <w:lang w:eastAsia="zh-CN" w:bidi="th-TH"/>
              </w:rPr>
              <w:t>9</w:t>
            </w:r>
            <w:r>
              <w:rPr>
                <w:rFonts w:cs="Arial"/>
                <w:color w:val="000000"/>
                <w:lang w:eastAsia="zh-CN" w:bidi="th-TH"/>
              </w:rPr>
              <w:t>4</w:t>
            </w:r>
          </w:p>
        </w:tc>
      </w:tr>
      <w:tr w:rsidR="00181C91" w:rsidRPr="003A7C01" w14:paraId="077F385D" w14:textId="77777777" w:rsidTr="002F2070">
        <w:trPr>
          <w:cantSplit/>
          <w:trHeight w:val="515"/>
        </w:trPr>
        <w:tc>
          <w:tcPr>
            <w:tcW w:w="4074" w:type="dxa"/>
            <w:shd w:val="clear" w:color="auto" w:fill="auto"/>
            <w:vAlign w:val="center"/>
            <w:hideMark/>
          </w:tcPr>
          <w:p w14:paraId="0F9AA01B" w14:textId="79F09AAC" w:rsidR="00181C91" w:rsidRPr="003A7C01" w:rsidRDefault="00181C91" w:rsidP="002F2070">
            <w:pPr>
              <w:keepLines/>
              <w:spacing w:after="0" w:line="240" w:lineRule="auto"/>
              <w:rPr>
                <w:rFonts w:cs="Arial"/>
                <w:color w:val="000000"/>
                <w:szCs w:val="22"/>
                <w:lang w:eastAsia="zh-CN" w:bidi="th-TH"/>
              </w:rPr>
            </w:pPr>
            <w:r w:rsidRPr="003A7C01">
              <w:rPr>
                <w:rFonts w:cs="Arial"/>
                <w:color w:val="000000"/>
                <w:szCs w:val="22"/>
                <w:lang w:eastAsia="zh-CN" w:bidi="th-TH"/>
              </w:rPr>
              <w:t xml:space="preserve">State </w:t>
            </w:r>
            <w:r w:rsidR="00296755">
              <w:rPr>
                <w:rFonts w:cs="Arial"/>
                <w:color w:val="000000"/>
                <w:szCs w:val="22"/>
                <w:lang w:eastAsia="zh-CN" w:bidi="th-TH"/>
              </w:rPr>
              <w:t>G</w:t>
            </w:r>
            <w:r w:rsidR="00296755">
              <w:rPr>
                <w:lang w:eastAsia="zh-CN" w:bidi="th-TH"/>
              </w:rPr>
              <w:t xml:space="preserve">overnment </w:t>
            </w:r>
            <w:r w:rsidRPr="003A7C01">
              <w:rPr>
                <w:rFonts w:cs="Arial"/>
                <w:color w:val="000000"/>
                <w:szCs w:val="22"/>
                <w:lang w:eastAsia="zh-CN" w:bidi="th-TH"/>
              </w:rPr>
              <w:t>– grants </w:t>
            </w:r>
          </w:p>
        </w:tc>
        <w:tc>
          <w:tcPr>
            <w:tcW w:w="1807" w:type="dxa"/>
            <w:shd w:val="clear" w:color="auto" w:fill="auto"/>
            <w:vAlign w:val="center"/>
            <w:hideMark/>
          </w:tcPr>
          <w:p w14:paraId="2955F895" w14:textId="0AF4FCA7" w:rsidR="0B2DEDFC" w:rsidRDefault="0021369C" w:rsidP="002F2070">
            <w:pPr>
              <w:keepLines/>
              <w:spacing w:after="0" w:line="240" w:lineRule="auto"/>
              <w:jc w:val="right"/>
              <w:rPr>
                <w:rFonts w:cs="Arial"/>
                <w:color w:val="000000" w:themeColor="text1"/>
                <w:lang w:eastAsia="zh-CN" w:bidi="th-TH"/>
              </w:rPr>
            </w:pPr>
            <w:r>
              <w:rPr>
                <w:rFonts w:cs="Arial"/>
                <w:color w:val="000000" w:themeColor="text1"/>
                <w:lang w:eastAsia="zh-CN" w:bidi="th-TH"/>
              </w:rPr>
              <w:t>52,626</w:t>
            </w:r>
          </w:p>
        </w:tc>
        <w:tc>
          <w:tcPr>
            <w:tcW w:w="1807" w:type="dxa"/>
            <w:shd w:val="clear" w:color="auto" w:fill="D9D9D9" w:themeFill="background1" w:themeFillShade="D9"/>
            <w:vAlign w:val="center"/>
            <w:hideMark/>
          </w:tcPr>
          <w:p w14:paraId="3667B5AC" w14:textId="738D586C" w:rsidR="00181C91" w:rsidRPr="003A7C01" w:rsidRDefault="00BA6908" w:rsidP="002F2070">
            <w:pPr>
              <w:keepLines/>
              <w:spacing w:after="0" w:line="240" w:lineRule="auto"/>
              <w:jc w:val="right"/>
              <w:rPr>
                <w:rFonts w:cs="Arial"/>
                <w:color w:val="000000"/>
                <w:lang w:eastAsia="zh-CN" w:bidi="th-TH"/>
              </w:rPr>
            </w:pPr>
            <w:r>
              <w:rPr>
                <w:rFonts w:cs="Arial"/>
                <w:color w:val="000000"/>
                <w:lang w:eastAsia="zh-CN" w:bidi="th-TH"/>
              </w:rPr>
              <w:t>48,846</w:t>
            </w:r>
          </w:p>
        </w:tc>
        <w:tc>
          <w:tcPr>
            <w:tcW w:w="1807" w:type="dxa"/>
            <w:shd w:val="clear" w:color="auto" w:fill="auto"/>
            <w:vAlign w:val="center"/>
            <w:hideMark/>
          </w:tcPr>
          <w:p w14:paraId="43B16512" w14:textId="10862B90" w:rsidR="00181C91" w:rsidRPr="003A7C01" w:rsidRDefault="003249C8" w:rsidP="002F2070">
            <w:pPr>
              <w:keepLines/>
              <w:spacing w:after="0" w:line="240" w:lineRule="auto"/>
              <w:jc w:val="right"/>
              <w:rPr>
                <w:rFonts w:cs="Arial"/>
                <w:color w:val="000000"/>
                <w:lang w:eastAsia="zh-CN" w:bidi="th-TH"/>
              </w:rPr>
            </w:pPr>
            <w:r>
              <w:rPr>
                <w:rFonts w:cs="Arial"/>
                <w:color w:val="000000"/>
                <w:lang w:eastAsia="zh-CN" w:bidi="th-TH"/>
              </w:rPr>
              <w:t>49,096</w:t>
            </w:r>
          </w:p>
        </w:tc>
      </w:tr>
      <w:tr w:rsidR="00181C91" w:rsidRPr="003A7C01" w14:paraId="256860F2" w14:textId="77777777" w:rsidTr="002F2070">
        <w:trPr>
          <w:cantSplit/>
          <w:trHeight w:val="515"/>
        </w:trPr>
        <w:tc>
          <w:tcPr>
            <w:tcW w:w="4074" w:type="dxa"/>
            <w:shd w:val="clear" w:color="auto" w:fill="auto"/>
            <w:vAlign w:val="center"/>
            <w:hideMark/>
          </w:tcPr>
          <w:p w14:paraId="36A1EC93" w14:textId="742F34C7" w:rsidR="00181C91" w:rsidRPr="003A7C01" w:rsidRDefault="00181C91" w:rsidP="002F2070">
            <w:pPr>
              <w:keepLines/>
              <w:spacing w:after="0" w:line="240" w:lineRule="auto"/>
              <w:rPr>
                <w:rFonts w:cs="Arial"/>
                <w:color w:val="000000"/>
                <w:szCs w:val="22"/>
                <w:lang w:eastAsia="zh-CN" w:bidi="th-TH"/>
              </w:rPr>
            </w:pPr>
            <w:r w:rsidRPr="003A7C01">
              <w:rPr>
                <w:rFonts w:cs="Arial"/>
                <w:color w:val="000000"/>
                <w:szCs w:val="22"/>
                <w:lang w:eastAsia="zh-CN" w:bidi="th-TH"/>
              </w:rPr>
              <w:t>Public Purpose Fund </w:t>
            </w:r>
            <w:r w:rsidR="00296755">
              <w:rPr>
                <w:rFonts w:cs="Arial"/>
                <w:color w:val="000000"/>
                <w:szCs w:val="22"/>
                <w:lang w:eastAsia="zh-CN" w:bidi="th-TH"/>
              </w:rPr>
              <w:t>- grants</w:t>
            </w:r>
          </w:p>
        </w:tc>
        <w:tc>
          <w:tcPr>
            <w:tcW w:w="1807" w:type="dxa"/>
            <w:shd w:val="clear" w:color="auto" w:fill="auto"/>
            <w:vAlign w:val="center"/>
            <w:hideMark/>
          </w:tcPr>
          <w:p w14:paraId="4431F168" w14:textId="0641DE66" w:rsidR="0B2DEDFC" w:rsidRDefault="0021369C" w:rsidP="002F2070">
            <w:pPr>
              <w:keepLines/>
              <w:spacing w:after="0" w:line="240" w:lineRule="auto"/>
              <w:jc w:val="right"/>
              <w:rPr>
                <w:rFonts w:cs="Arial"/>
                <w:color w:val="000000" w:themeColor="text1"/>
                <w:lang w:eastAsia="zh-CN" w:bidi="th-TH"/>
              </w:rPr>
            </w:pPr>
            <w:r>
              <w:rPr>
                <w:rFonts w:cs="Arial"/>
                <w:color w:val="000000" w:themeColor="text1"/>
                <w:lang w:eastAsia="zh-CN" w:bidi="th-TH"/>
              </w:rPr>
              <w:t>14,950</w:t>
            </w:r>
          </w:p>
        </w:tc>
        <w:tc>
          <w:tcPr>
            <w:tcW w:w="1807" w:type="dxa"/>
            <w:shd w:val="clear" w:color="auto" w:fill="D9D9D9" w:themeFill="background1" w:themeFillShade="D9"/>
            <w:vAlign w:val="center"/>
            <w:hideMark/>
          </w:tcPr>
          <w:p w14:paraId="299738E9" w14:textId="27FDB38A" w:rsidR="00181C91" w:rsidRPr="003A7C01" w:rsidRDefault="00BA6908" w:rsidP="002F2070">
            <w:pPr>
              <w:keepLines/>
              <w:spacing w:after="0" w:line="240" w:lineRule="auto"/>
              <w:jc w:val="right"/>
              <w:rPr>
                <w:rFonts w:cs="Arial"/>
                <w:color w:val="000000"/>
                <w:lang w:eastAsia="zh-CN" w:bidi="th-TH"/>
              </w:rPr>
            </w:pPr>
            <w:r>
              <w:rPr>
                <w:rFonts w:cs="Arial"/>
                <w:color w:val="000000"/>
                <w:lang w:eastAsia="zh-CN" w:bidi="th-TH"/>
              </w:rPr>
              <w:t>12,850</w:t>
            </w:r>
          </w:p>
        </w:tc>
        <w:tc>
          <w:tcPr>
            <w:tcW w:w="1807" w:type="dxa"/>
            <w:shd w:val="clear" w:color="auto" w:fill="auto"/>
            <w:vAlign w:val="center"/>
            <w:hideMark/>
          </w:tcPr>
          <w:p w14:paraId="296F143E" w14:textId="4ADD8FB9" w:rsidR="00181C91" w:rsidRPr="003A7C01" w:rsidRDefault="00C06E17" w:rsidP="002F2070">
            <w:pPr>
              <w:keepLines/>
              <w:spacing w:after="0" w:line="240" w:lineRule="auto"/>
              <w:jc w:val="right"/>
              <w:rPr>
                <w:rFonts w:cs="Arial"/>
                <w:color w:val="000000"/>
                <w:lang w:eastAsia="zh-CN" w:bidi="th-TH"/>
              </w:rPr>
            </w:pPr>
            <w:r>
              <w:rPr>
                <w:rFonts w:cs="Arial"/>
                <w:color w:val="000000"/>
                <w:lang w:eastAsia="zh-CN" w:bidi="th-TH"/>
              </w:rPr>
              <w:t>17,068</w:t>
            </w:r>
          </w:p>
        </w:tc>
      </w:tr>
      <w:tr w:rsidR="00181C91" w:rsidRPr="003A7C01" w14:paraId="3852FF5E" w14:textId="77777777" w:rsidTr="002F2070">
        <w:trPr>
          <w:cantSplit/>
          <w:trHeight w:val="515"/>
        </w:trPr>
        <w:tc>
          <w:tcPr>
            <w:tcW w:w="4074" w:type="dxa"/>
            <w:shd w:val="clear" w:color="auto" w:fill="auto"/>
            <w:vAlign w:val="center"/>
            <w:hideMark/>
          </w:tcPr>
          <w:p w14:paraId="305BF643"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Case revenue </w:t>
            </w:r>
          </w:p>
        </w:tc>
        <w:tc>
          <w:tcPr>
            <w:tcW w:w="1807" w:type="dxa"/>
            <w:shd w:val="clear" w:color="auto" w:fill="auto"/>
            <w:vAlign w:val="center"/>
            <w:hideMark/>
          </w:tcPr>
          <w:p w14:paraId="20DC9D84" w14:textId="30DF76D6" w:rsidR="0B2DEDFC" w:rsidRDefault="0021369C" w:rsidP="00D06950">
            <w:pPr>
              <w:spacing w:after="0" w:line="240" w:lineRule="auto"/>
              <w:jc w:val="right"/>
              <w:rPr>
                <w:rFonts w:cs="Arial"/>
                <w:color w:val="000000" w:themeColor="text1"/>
                <w:lang w:eastAsia="zh-CN" w:bidi="th-TH"/>
              </w:rPr>
            </w:pPr>
            <w:r>
              <w:rPr>
                <w:rFonts w:cs="Arial"/>
                <w:color w:val="000000" w:themeColor="text1"/>
                <w:lang w:eastAsia="zh-CN" w:bidi="th-TH"/>
              </w:rPr>
              <w:t>1,435</w:t>
            </w:r>
          </w:p>
        </w:tc>
        <w:tc>
          <w:tcPr>
            <w:tcW w:w="1807" w:type="dxa"/>
            <w:shd w:val="clear" w:color="auto" w:fill="D9D9D9" w:themeFill="background1" w:themeFillShade="D9"/>
            <w:vAlign w:val="center"/>
            <w:hideMark/>
          </w:tcPr>
          <w:p w14:paraId="3CE3E958" w14:textId="07DEC64A" w:rsidR="00181C91" w:rsidRPr="003A7C01" w:rsidRDefault="00BA6908" w:rsidP="0B2DEDFC">
            <w:pPr>
              <w:spacing w:after="0" w:line="240" w:lineRule="auto"/>
              <w:jc w:val="right"/>
              <w:rPr>
                <w:rFonts w:cs="Arial"/>
                <w:color w:val="000000"/>
                <w:lang w:eastAsia="zh-CN" w:bidi="th-TH"/>
              </w:rPr>
            </w:pPr>
            <w:r>
              <w:rPr>
                <w:rFonts w:cs="Arial"/>
                <w:color w:val="000000"/>
                <w:lang w:eastAsia="zh-CN" w:bidi="th-TH"/>
              </w:rPr>
              <w:t>784</w:t>
            </w:r>
          </w:p>
        </w:tc>
        <w:tc>
          <w:tcPr>
            <w:tcW w:w="1807" w:type="dxa"/>
            <w:shd w:val="clear" w:color="auto" w:fill="auto"/>
            <w:vAlign w:val="center"/>
            <w:hideMark/>
          </w:tcPr>
          <w:p w14:paraId="0E7BA419" w14:textId="0869B07F" w:rsidR="00181C91" w:rsidRPr="003A7C01" w:rsidRDefault="00C06E17" w:rsidP="0B2DEDFC">
            <w:pPr>
              <w:spacing w:after="0" w:line="240" w:lineRule="auto"/>
              <w:jc w:val="right"/>
              <w:rPr>
                <w:rFonts w:cs="Arial"/>
                <w:color w:val="000000"/>
                <w:lang w:eastAsia="zh-CN" w:bidi="th-TH"/>
              </w:rPr>
            </w:pPr>
            <w:r>
              <w:rPr>
                <w:rFonts w:cs="Arial"/>
                <w:color w:val="000000"/>
                <w:lang w:eastAsia="zh-CN" w:bidi="th-TH"/>
              </w:rPr>
              <w:t>1,016</w:t>
            </w:r>
          </w:p>
        </w:tc>
      </w:tr>
      <w:tr w:rsidR="00181C91" w:rsidRPr="003A7C01" w14:paraId="18E2F460" w14:textId="77777777" w:rsidTr="002F2070">
        <w:trPr>
          <w:cantSplit/>
          <w:trHeight w:val="515"/>
        </w:trPr>
        <w:tc>
          <w:tcPr>
            <w:tcW w:w="4074" w:type="dxa"/>
            <w:shd w:val="clear" w:color="auto" w:fill="auto"/>
            <w:vAlign w:val="center"/>
            <w:hideMark/>
          </w:tcPr>
          <w:p w14:paraId="631B7A09"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Other income </w:t>
            </w:r>
          </w:p>
        </w:tc>
        <w:tc>
          <w:tcPr>
            <w:tcW w:w="1807" w:type="dxa"/>
            <w:shd w:val="clear" w:color="auto" w:fill="auto"/>
            <w:vAlign w:val="center"/>
            <w:hideMark/>
          </w:tcPr>
          <w:p w14:paraId="43A1B077" w14:textId="59A4A0AC" w:rsidR="0B2DEDFC" w:rsidRDefault="0021369C" w:rsidP="00D06950">
            <w:pPr>
              <w:spacing w:after="0" w:line="240" w:lineRule="auto"/>
              <w:jc w:val="right"/>
              <w:rPr>
                <w:rFonts w:cs="Arial"/>
                <w:color w:val="000000" w:themeColor="text1"/>
                <w:lang w:eastAsia="zh-CN" w:bidi="th-TH"/>
              </w:rPr>
            </w:pPr>
            <w:r>
              <w:rPr>
                <w:rFonts w:cs="Arial"/>
                <w:color w:val="000000" w:themeColor="text1"/>
                <w:lang w:eastAsia="zh-CN" w:bidi="th-TH"/>
              </w:rPr>
              <w:t>1,607</w:t>
            </w:r>
          </w:p>
        </w:tc>
        <w:tc>
          <w:tcPr>
            <w:tcW w:w="1807" w:type="dxa"/>
            <w:shd w:val="clear" w:color="auto" w:fill="D9D9D9" w:themeFill="background1" w:themeFillShade="D9"/>
            <w:vAlign w:val="center"/>
            <w:hideMark/>
          </w:tcPr>
          <w:p w14:paraId="2C2B00EE" w14:textId="1BB4CA97" w:rsidR="00181C91" w:rsidRPr="003A7C01" w:rsidRDefault="00BA6908" w:rsidP="0B2DEDFC">
            <w:pPr>
              <w:spacing w:after="0" w:line="240" w:lineRule="auto"/>
              <w:jc w:val="right"/>
              <w:rPr>
                <w:rFonts w:cs="Arial"/>
                <w:color w:val="000000"/>
                <w:lang w:eastAsia="zh-CN" w:bidi="th-TH"/>
              </w:rPr>
            </w:pPr>
            <w:r>
              <w:rPr>
                <w:rFonts w:cs="Arial"/>
                <w:color w:val="000000"/>
                <w:lang w:eastAsia="zh-CN" w:bidi="th-TH"/>
              </w:rPr>
              <w:t>1,775</w:t>
            </w:r>
          </w:p>
        </w:tc>
        <w:tc>
          <w:tcPr>
            <w:tcW w:w="1807" w:type="dxa"/>
            <w:shd w:val="clear" w:color="auto" w:fill="auto"/>
            <w:vAlign w:val="center"/>
            <w:hideMark/>
          </w:tcPr>
          <w:p w14:paraId="08CF6F06" w14:textId="01CCD01C" w:rsidR="00181C91" w:rsidRPr="003A7C01" w:rsidRDefault="00C06E17" w:rsidP="0B2DEDFC">
            <w:pPr>
              <w:spacing w:after="0" w:line="240" w:lineRule="auto"/>
              <w:jc w:val="right"/>
              <w:rPr>
                <w:rFonts w:cs="Arial"/>
                <w:color w:val="000000"/>
                <w:lang w:eastAsia="zh-CN" w:bidi="th-TH"/>
              </w:rPr>
            </w:pPr>
            <w:r>
              <w:rPr>
                <w:rFonts w:cs="Arial"/>
                <w:color w:val="000000"/>
                <w:lang w:eastAsia="zh-CN" w:bidi="th-TH"/>
              </w:rPr>
              <w:t>1,773</w:t>
            </w:r>
          </w:p>
        </w:tc>
      </w:tr>
      <w:tr w:rsidR="00181C91" w:rsidRPr="003A7C01" w14:paraId="309157E7" w14:textId="77777777" w:rsidTr="002F2070">
        <w:trPr>
          <w:cantSplit/>
          <w:trHeight w:val="515"/>
        </w:trPr>
        <w:tc>
          <w:tcPr>
            <w:tcW w:w="4074" w:type="dxa"/>
            <w:shd w:val="clear" w:color="auto" w:fill="D9D9D9" w:themeFill="background1" w:themeFillShade="D9"/>
            <w:vAlign w:val="center"/>
            <w:hideMark/>
          </w:tcPr>
          <w:p w14:paraId="55C5CD62" w14:textId="77777777" w:rsidR="00181C91" w:rsidRPr="003A7C01" w:rsidRDefault="00181C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Total revenue</w:t>
            </w:r>
            <w:r w:rsidRPr="003A7C01">
              <w:rPr>
                <w:rFonts w:cs="Arial"/>
                <w:color w:val="000000"/>
                <w:szCs w:val="22"/>
                <w:lang w:eastAsia="zh-CN" w:bidi="th-TH"/>
              </w:rPr>
              <w:t> </w:t>
            </w:r>
          </w:p>
        </w:tc>
        <w:tc>
          <w:tcPr>
            <w:tcW w:w="1807" w:type="dxa"/>
            <w:shd w:val="clear" w:color="auto" w:fill="D9D9D9" w:themeFill="background1" w:themeFillShade="D9"/>
            <w:vAlign w:val="center"/>
            <w:hideMark/>
          </w:tcPr>
          <w:p w14:paraId="3D9D97CF" w14:textId="29588010" w:rsidR="0B2DEDFC" w:rsidRDefault="00D06950" w:rsidP="00D06950">
            <w:pPr>
              <w:spacing w:after="0" w:line="240" w:lineRule="auto"/>
              <w:jc w:val="right"/>
              <w:rPr>
                <w:rFonts w:cs="Arial"/>
                <w:b/>
                <w:bCs/>
                <w:color w:val="000000" w:themeColor="text1"/>
                <w:lang w:eastAsia="zh-CN" w:bidi="th-TH"/>
              </w:rPr>
            </w:pPr>
            <w:r>
              <w:rPr>
                <w:rFonts w:cs="Arial"/>
                <w:b/>
                <w:bCs/>
                <w:color w:val="000000" w:themeColor="text1"/>
                <w:lang w:eastAsia="zh-CN" w:bidi="th-TH"/>
              </w:rPr>
              <w:t>101,759</w:t>
            </w:r>
          </w:p>
        </w:tc>
        <w:tc>
          <w:tcPr>
            <w:tcW w:w="1807" w:type="dxa"/>
            <w:shd w:val="clear" w:color="auto" w:fill="D9D9D9" w:themeFill="background1" w:themeFillShade="D9"/>
            <w:vAlign w:val="center"/>
            <w:hideMark/>
          </w:tcPr>
          <w:p w14:paraId="5DAB5FC4" w14:textId="4335C101" w:rsidR="00181C91" w:rsidRPr="003A7C01" w:rsidRDefault="00C06E17" w:rsidP="0B2DEDFC">
            <w:pPr>
              <w:spacing w:after="0" w:line="240" w:lineRule="auto"/>
              <w:jc w:val="right"/>
              <w:rPr>
                <w:rFonts w:cs="Arial"/>
                <w:b/>
                <w:bCs/>
                <w:color w:val="000000"/>
                <w:lang w:eastAsia="zh-CN" w:bidi="th-TH"/>
              </w:rPr>
            </w:pPr>
            <w:r>
              <w:rPr>
                <w:rFonts w:cs="Arial"/>
                <w:b/>
                <w:bCs/>
                <w:color w:val="000000"/>
                <w:lang w:eastAsia="zh-CN" w:bidi="th-TH"/>
              </w:rPr>
              <w:t>90,306</w:t>
            </w:r>
          </w:p>
        </w:tc>
        <w:tc>
          <w:tcPr>
            <w:tcW w:w="1807" w:type="dxa"/>
            <w:shd w:val="clear" w:color="auto" w:fill="D9D9D9" w:themeFill="background1" w:themeFillShade="D9"/>
            <w:vAlign w:val="center"/>
            <w:hideMark/>
          </w:tcPr>
          <w:p w14:paraId="1285C2DD" w14:textId="003A1005" w:rsidR="00181C91" w:rsidRPr="003A7C01" w:rsidRDefault="00C06E17" w:rsidP="0B2DEDFC">
            <w:pPr>
              <w:spacing w:after="0" w:line="240" w:lineRule="auto"/>
              <w:jc w:val="right"/>
              <w:rPr>
                <w:rFonts w:cs="Arial"/>
                <w:b/>
                <w:bCs/>
                <w:color w:val="000000"/>
                <w:lang w:eastAsia="zh-CN" w:bidi="th-TH"/>
              </w:rPr>
            </w:pPr>
            <w:r>
              <w:rPr>
                <w:rFonts w:cs="Arial"/>
                <w:b/>
                <w:bCs/>
                <w:color w:val="000000"/>
                <w:lang w:eastAsia="zh-CN" w:bidi="th-TH"/>
              </w:rPr>
              <w:t>9</w:t>
            </w:r>
            <w:r w:rsidR="00D523EF">
              <w:rPr>
                <w:rFonts w:cs="Arial"/>
                <w:b/>
                <w:bCs/>
                <w:color w:val="000000"/>
                <w:lang w:eastAsia="zh-CN" w:bidi="th-TH"/>
              </w:rPr>
              <w:t>4,947</w:t>
            </w:r>
          </w:p>
        </w:tc>
      </w:tr>
    </w:tbl>
    <w:p w14:paraId="0A9AB72B" w14:textId="56C77EE2" w:rsidR="00A3162D" w:rsidRPr="00A3162D" w:rsidRDefault="008D2291" w:rsidP="006663C9">
      <w:pPr>
        <w:pStyle w:val="Tableheader"/>
      </w:pPr>
      <w:r w:rsidRPr="0B2DEDFC">
        <w:rPr>
          <w:rFonts w:eastAsia="Arial"/>
        </w:rPr>
        <w:t>Table 2.2 Total expenditure breakdown ($’000)</w:t>
      </w:r>
      <w: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34"/>
        <w:gridCol w:w="1834"/>
        <w:gridCol w:w="1691"/>
      </w:tblGrid>
      <w:tr w:rsidR="008D2291" w:rsidRPr="003A7C01" w14:paraId="1739A7EC" w14:textId="77777777" w:rsidTr="002F2070">
        <w:trPr>
          <w:cantSplit/>
          <w:trHeight w:val="245"/>
          <w:tblHeader/>
        </w:trPr>
        <w:tc>
          <w:tcPr>
            <w:tcW w:w="4134" w:type="dxa"/>
            <w:vMerge w:val="restart"/>
            <w:shd w:val="clear" w:color="auto" w:fill="B59CC0"/>
            <w:vAlign w:val="center"/>
            <w:hideMark/>
          </w:tcPr>
          <w:p w14:paraId="53334BA3" w14:textId="77777777" w:rsidR="008D2291" w:rsidRPr="003A7C01" w:rsidRDefault="008D22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Expenditure</w:t>
            </w:r>
            <w:r w:rsidRPr="003A7C01">
              <w:rPr>
                <w:rFonts w:cs="Arial"/>
                <w:color w:val="000000"/>
                <w:szCs w:val="22"/>
                <w:lang w:eastAsia="zh-CN" w:bidi="th-TH"/>
              </w:rPr>
              <w:t> </w:t>
            </w:r>
          </w:p>
        </w:tc>
        <w:tc>
          <w:tcPr>
            <w:tcW w:w="1834" w:type="dxa"/>
            <w:tcBorders>
              <w:bottom w:val="nil"/>
            </w:tcBorders>
            <w:shd w:val="clear" w:color="auto" w:fill="B59CC0"/>
            <w:vAlign w:val="center"/>
            <w:hideMark/>
          </w:tcPr>
          <w:p w14:paraId="71E99CFB" w14:textId="4E853C53" w:rsidR="008D2291" w:rsidRPr="003A7C01" w:rsidRDefault="008D2291"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570336">
              <w:rPr>
                <w:rFonts w:cs="Arial"/>
                <w:b/>
                <w:bCs/>
                <w:color w:val="000000" w:themeColor="text1"/>
                <w:lang w:eastAsia="zh-CN" w:bidi="th-TH"/>
              </w:rPr>
              <w:t>4</w:t>
            </w:r>
          </w:p>
        </w:tc>
        <w:tc>
          <w:tcPr>
            <w:tcW w:w="1834" w:type="dxa"/>
            <w:tcBorders>
              <w:bottom w:val="nil"/>
            </w:tcBorders>
            <w:shd w:val="clear" w:color="auto" w:fill="B59CC0"/>
            <w:vAlign w:val="center"/>
            <w:hideMark/>
          </w:tcPr>
          <w:p w14:paraId="2A383130" w14:textId="686811F2"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w:t>
            </w:r>
            <w:r w:rsidR="00570336">
              <w:rPr>
                <w:rFonts w:cs="Arial"/>
                <w:b/>
                <w:bCs/>
                <w:color w:val="000000"/>
                <w:szCs w:val="22"/>
                <w:lang w:eastAsia="zh-CN" w:bidi="th-TH"/>
              </w:rPr>
              <w:t>1</w:t>
            </w:r>
          </w:p>
        </w:tc>
        <w:tc>
          <w:tcPr>
            <w:tcW w:w="1691" w:type="dxa"/>
            <w:tcBorders>
              <w:bottom w:val="nil"/>
            </w:tcBorders>
            <w:shd w:val="clear" w:color="auto" w:fill="B59CC0"/>
            <w:vAlign w:val="center"/>
            <w:hideMark/>
          </w:tcPr>
          <w:p w14:paraId="48C3B669" w14:textId="7B855850" w:rsidR="008D2291" w:rsidRPr="003A7C01" w:rsidRDefault="008D2291"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0570336">
              <w:rPr>
                <w:rFonts w:cs="Arial"/>
                <w:b/>
                <w:bCs/>
                <w:color w:val="000000" w:themeColor="text1"/>
                <w:lang w:eastAsia="zh-CN" w:bidi="th-TH"/>
              </w:rPr>
              <w:t>2</w:t>
            </w:r>
            <w:r w:rsidRPr="0B2DEDFC">
              <w:rPr>
                <w:rFonts w:cs="Arial"/>
                <w:b/>
                <w:bCs/>
                <w:color w:val="000000" w:themeColor="text1"/>
                <w:lang w:eastAsia="zh-CN" w:bidi="th-TH"/>
              </w:rPr>
              <w:t xml:space="preserve"> 202</w:t>
            </w:r>
            <w:r w:rsidR="1D60AE5D" w:rsidRPr="0B2DEDFC">
              <w:rPr>
                <w:rFonts w:cs="Arial"/>
                <w:b/>
                <w:bCs/>
                <w:color w:val="000000" w:themeColor="text1"/>
                <w:lang w:eastAsia="zh-CN" w:bidi="th-TH"/>
              </w:rPr>
              <w:t>4</w:t>
            </w:r>
            <w:r w:rsidRPr="0B2DEDFC">
              <w:rPr>
                <w:rFonts w:cs="Arial"/>
                <w:b/>
                <w:bCs/>
                <w:color w:val="000000" w:themeColor="text1"/>
                <w:lang w:eastAsia="zh-CN" w:bidi="th-TH"/>
              </w:rPr>
              <w:t>-2</w:t>
            </w:r>
            <w:r w:rsidR="24546A0C" w:rsidRPr="0B2DEDFC">
              <w:rPr>
                <w:rFonts w:cs="Arial"/>
                <w:b/>
                <w:bCs/>
                <w:color w:val="000000" w:themeColor="text1"/>
                <w:lang w:eastAsia="zh-CN" w:bidi="th-TH"/>
              </w:rPr>
              <w:t>5</w:t>
            </w:r>
          </w:p>
        </w:tc>
      </w:tr>
      <w:tr w:rsidR="008D2291" w:rsidRPr="003A7C01" w14:paraId="06EC9185" w14:textId="77777777" w:rsidTr="002F2070">
        <w:trPr>
          <w:cantSplit/>
          <w:trHeight w:val="253"/>
          <w:tblHeader/>
        </w:trPr>
        <w:tc>
          <w:tcPr>
            <w:tcW w:w="4134" w:type="dxa"/>
            <w:vMerge/>
            <w:vAlign w:val="center"/>
            <w:hideMark/>
          </w:tcPr>
          <w:p w14:paraId="19EBD10B" w14:textId="77777777" w:rsidR="008D2291" w:rsidRPr="003A7C01" w:rsidRDefault="008D2291" w:rsidP="00417688">
            <w:pPr>
              <w:spacing w:after="0" w:line="240" w:lineRule="auto"/>
              <w:rPr>
                <w:rFonts w:cs="Arial"/>
                <w:b/>
                <w:bCs/>
                <w:color w:val="000000"/>
                <w:szCs w:val="22"/>
                <w:lang w:eastAsia="zh-CN" w:bidi="th-TH"/>
              </w:rPr>
            </w:pPr>
          </w:p>
        </w:tc>
        <w:tc>
          <w:tcPr>
            <w:tcW w:w="1834" w:type="dxa"/>
            <w:tcBorders>
              <w:top w:val="nil"/>
            </w:tcBorders>
            <w:shd w:val="clear" w:color="auto" w:fill="B59CC0"/>
            <w:vAlign w:val="center"/>
            <w:hideMark/>
          </w:tcPr>
          <w:p w14:paraId="06BF5157"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34" w:type="dxa"/>
            <w:tcBorders>
              <w:top w:val="nil"/>
            </w:tcBorders>
            <w:shd w:val="clear" w:color="auto" w:fill="B59CC0"/>
            <w:vAlign w:val="center"/>
            <w:hideMark/>
          </w:tcPr>
          <w:p w14:paraId="74A02EE0" w14:textId="3C7499B2"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w:t>
            </w:r>
            <w:r w:rsidR="00570336">
              <w:rPr>
                <w:rFonts w:cs="Arial"/>
                <w:b/>
                <w:bCs/>
                <w:color w:val="000000"/>
                <w:szCs w:val="22"/>
                <w:lang w:eastAsia="zh-CN" w:bidi="th-TH"/>
              </w:rPr>
              <w:t>4</w:t>
            </w:r>
            <w:r w:rsidRPr="003A7C01">
              <w:rPr>
                <w:rFonts w:cs="Arial"/>
                <w:b/>
                <w:bCs/>
                <w:color w:val="000000"/>
                <w:szCs w:val="22"/>
                <w:lang w:eastAsia="zh-CN" w:bidi="th-TH"/>
              </w:rPr>
              <w:t>-2</w:t>
            </w:r>
            <w:r w:rsidR="00570336">
              <w:rPr>
                <w:rFonts w:cs="Arial"/>
                <w:b/>
                <w:bCs/>
                <w:color w:val="000000"/>
                <w:szCs w:val="22"/>
                <w:lang w:eastAsia="zh-CN" w:bidi="th-TH"/>
              </w:rPr>
              <w:t>5</w:t>
            </w:r>
            <w:r w:rsidRPr="003A7C01">
              <w:rPr>
                <w:rFonts w:cs="Arial"/>
                <w:b/>
                <w:bCs/>
                <w:color w:val="000000"/>
                <w:szCs w:val="22"/>
                <w:lang w:eastAsia="zh-CN" w:bidi="th-TH"/>
              </w:rPr>
              <w:t> </w:t>
            </w:r>
          </w:p>
        </w:tc>
        <w:tc>
          <w:tcPr>
            <w:tcW w:w="1691" w:type="dxa"/>
            <w:tcBorders>
              <w:top w:val="nil"/>
            </w:tcBorders>
            <w:shd w:val="clear" w:color="auto" w:fill="B59CC0"/>
            <w:vAlign w:val="center"/>
            <w:hideMark/>
          </w:tcPr>
          <w:p w14:paraId="40333106"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8D2291" w:rsidRPr="003A7C01" w14:paraId="1447DD06" w14:textId="77777777" w:rsidTr="002F2070">
        <w:trPr>
          <w:cantSplit/>
          <w:trHeight w:val="752"/>
        </w:trPr>
        <w:tc>
          <w:tcPr>
            <w:tcW w:w="4134" w:type="dxa"/>
            <w:shd w:val="clear" w:color="auto" w:fill="auto"/>
            <w:vAlign w:val="center"/>
            <w:hideMark/>
          </w:tcPr>
          <w:p w14:paraId="3C9742BB" w14:textId="74222098"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 xml:space="preserve">Case expenditure </w:t>
            </w:r>
          </w:p>
        </w:tc>
        <w:tc>
          <w:tcPr>
            <w:tcW w:w="1834" w:type="dxa"/>
            <w:shd w:val="clear" w:color="auto" w:fill="auto"/>
            <w:vAlign w:val="center"/>
            <w:hideMark/>
          </w:tcPr>
          <w:p w14:paraId="4893F46B" w14:textId="60390DF0" w:rsidR="0B2DEDFC" w:rsidRDefault="009F7414" w:rsidP="0B2DEDFC">
            <w:pPr>
              <w:spacing w:after="0" w:line="240" w:lineRule="auto"/>
              <w:jc w:val="right"/>
              <w:rPr>
                <w:rFonts w:cs="Arial"/>
                <w:color w:val="000000" w:themeColor="text1"/>
                <w:lang w:eastAsia="zh-CN" w:bidi="th-TH"/>
              </w:rPr>
            </w:pPr>
            <w:r>
              <w:rPr>
                <w:rFonts w:cs="Arial"/>
                <w:color w:val="000000" w:themeColor="text1"/>
                <w:lang w:eastAsia="zh-CN" w:bidi="th-TH"/>
              </w:rPr>
              <w:t>(34,801)</w:t>
            </w:r>
          </w:p>
        </w:tc>
        <w:tc>
          <w:tcPr>
            <w:tcW w:w="1834" w:type="dxa"/>
            <w:shd w:val="clear" w:color="auto" w:fill="D9D9D9" w:themeFill="background1" w:themeFillShade="D9"/>
            <w:vAlign w:val="center"/>
            <w:hideMark/>
          </w:tcPr>
          <w:p w14:paraId="03F9B0DE" w14:textId="07D8ACF2"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(31,093)</w:t>
            </w:r>
          </w:p>
        </w:tc>
        <w:tc>
          <w:tcPr>
            <w:tcW w:w="1691" w:type="dxa"/>
            <w:shd w:val="clear" w:color="auto" w:fill="auto"/>
            <w:vAlign w:val="center"/>
            <w:hideMark/>
          </w:tcPr>
          <w:p w14:paraId="1D02ECEC" w14:textId="1E6F83F4"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(31,</w:t>
            </w:r>
            <w:r w:rsidR="00B31F43">
              <w:rPr>
                <w:rFonts w:cs="Arial"/>
                <w:color w:val="000000"/>
                <w:lang w:eastAsia="zh-CN" w:bidi="th-TH"/>
              </w:rPr>
              <w:t>514</w:t>
            </w:r>
            <w:r>
              <w:rPr>
                <w:rFonts w:cs="Arial"/>
                <w:color w:val="000000"/>
                <w:lang w:eastAsia="zh-CN" w:bidi="th-TH"/>
              </w:rPr>
              <w:t>)</w:t>
            </w:r>
          </w:p>
        </w:tc>
      </w:tr>
      <w:tr w:rsidR="008D2291" w:rsidRPr="003A7C01" w14:paraId="3B85BD42" w14:textId="77777777" w:rsidTr="002F2070">
        <w:trPr>
          <w:cantSplit/>
          <w:trHeight w:val="752"/>
        </w:trPr>
        <w:tc>
          <w:tcPr>
            <w:tcW w:w="4134" w:type="dxa"/>
            <w:shd w:val="clear" w:color="auto" w:fill="auto"/>
            <w:vAlign w:val="center"/>
            <w:hideMark/>
          </w:tcPr>
          <w:p w14:paraId="23F6E701"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Community Legal Centre payments </w:t>
            </w:r>
          </w:p>
        </w:tc>
        <w:tc>
          <w:tcPr>
            <w:tcW w:w="1834" w:type="dxa"/>
            <w:shd w:val="clear" w:color="auto" w:fill="auto"/>
            <w:vAlign w:val="center"/>
            <w:hideMark/>
          </w:tcPr>
          <w:p w14:paraId="0D2199FF" w14:textId="3725D86B" w:rsidR="0B2DEDFC" w:rsidRDefault="009F7414" w:rsidP="0B2DEDFC">
            <w:pPr>
              <w:spacing w:after="0" w:line="240" w:lineRule="auto"/>
              <w:jc w:val="right"/>
              <w:rPr>
                <w:rFonts w:cs="Arial"/>
                <w:color w:val="000000" w:themeColor="text1"/>
                <w:lang w:eastAsia="zh-CN" w:bidi="th-TH"/>
              </w:rPr>
            </w:pPr>
            <w:r>
              <w:rPr>
                <w:rFonts w:cs="Arial"/>
                <w:color w:val="000000" w:themeColor="text1"/>
                <w:lang w:eastAsia="zh-CN" w:bidi="th-TH"/>
              </w:rPr>
              <w:t>(18,155)</w:t>
            </w:r>
          </w:p>
        </w:tc>
        <w:tc>
          <w:tcPr>
            <w:tcW w:w="1834" w:type="dxa"/>
            <w:shd w:val="clear" w:color="auto" w:fill="D9D9D9" w:themeFill="background1" w:themeFillShade="D9"/>
            <w:vAlign w:val="center"/>
            <w:hideMark/>
          </w:tcPr>
          <w:p w14:paraId="374E8870" w14:textId="41EC643A"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(16,631)</w:t>
            </w:r>
          </w:p>
        </w:tc>
        <w:tc>
          <w:tcPr>
            <w:tcW w:w="1691" w:type="dxa"/>
            <w:shd w:val="clear" w:color="auto" w:fill="auto"/>
            <w:vAlign w:val="center"/>
            <w:hideMark/>
          </w:tcPr>
          <w:p w14:paraId="5AD514A4" w14:textId="24CDD95E"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(15,</w:t>
            </w:r>
            <w:r w:rsidR="00A45700">
              <w:rPr>
                <w:rFonts w:cs="Arial"/>
                <w:color w:val="000000"/>
                <w:lang w:eastAsia="zh-CN" w:bidi="th-TH"/>
              </w:rPr>
              <w:t>733</w:t>
            </w:r>
            <w:r>
              <w:rPr>
                <w:rFonts w:cs="Arial"/>
                <w:color w:val="000000"/>
                <w:lang w:eastAsia="zh-CN" w:bidi="th-TH"/>
              </w:rPr>
              <w:t>)</w:t>
            </w:r>
          </w:p>
        </w:tc>
      </w:tr>
      <w:tr w:rsidR="008D2291" w:rsidRPr="003A7C01" w14:paraId="17431449" w14:textId="77777777" w:rsidTr="002F2070">
        <w:trPr>
          <w:cantSplit/>
          <w:trHeight w:val="752"/>
        </w:trPr>
        <w:tc>
          <w:tcPr>
            <w:tcW w:w="4134" w:type="dxa"/>
            <w:shd w:val="clear" w:color="auto" w:fill="auto"/>
            <w:vAlign w:val="center"/>
            <w:hideMark/>
          </w:tcPr>
          <w:p w14:paraId="14BA531D"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Staff costs </w:t>
            </w:r>
          </w:p>
        </w:tc>
        <w:tc>
          <w:tcPr>
            <w:tcW w:w="1834" w:type="dxa"/>
            <w:shd w:val="clear" w:color="auto" w:fill="auto"/>
            <w:vAlign w:val="center"/>
            <w:hideMark/>
          </w:tcPr>
          <w:p w14:paraId="7CD1FDE5" w14:textId="0818ABE4" w:rsidR="0B2DEDFC" w:rsidRDefault="009F7414" w:rsidP="0B2DEDFC">
            <w:pPr>
              <w:spacing w:after="0" w:line="240" w:lineRule="auto"/>
              <w:jc w:val="right"/>
              <w:rPr>
                <w:rFonts w:cs="Arial"/>
                <w:color w:val="000000" w:themeColor="text1"/>
                <w:lang w:eastAsia="zh-CN" w:bidi="th-TH"/>
              </w:rPr>
            </w:pPr>
            <w:r>
              <w:rPr>
                <w:rFonts w:cs="Arial"/>
                <w:color w:val="000000" w:themeColor="text1"/>
                <w:lang w:eastAsia="zh-CN" w:bidi="th-TH"/>
              </w:rPr>
              <w:t>(35,019)</w:t>
            </w:r>
          </w:p>
        </w:tc>
        <w:tc>
          <w:tcPr>
            <w:tcW w:w="1834" w:type="dxa"/>
            <w:shd w:val="clear" w:color="auto" w:fill="D9D9D9" w:themeFill="background1" w:themeFillShade="D9"/>
            <w:vAlign w:val="center"/>
            <w:hideMark/>
          </w:tcPr>
          <w:p w14:paraId="3AAFCABA" w14:textId="4038C89D"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(35,864)</w:t>
            </w:r>
          </w:p>
        </w:tc>
        <w:tc>
          <w:tcPr>
            <w:tcW w:w="1691" w:type="dxa"/>
            <w:shd w:val="clear" w:color="auto" w:fill="auto"/>
            <w:vAlign w:val="center"/>
            <w:hideMark/>
          </w:tcPr>
          <w:p w14:paraId="0501205C" w14:textId="5D7517A2"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(39,1</w:t>
            </w:r>
            <w:r w:rsidR="00AE3EF6">
              <w:rPr>
                <w:rFonts w:cs="Arial"/>
                <w:color w:val="000000"/>
                <w:lang w:eastAsia="zh-CN" w:bidi="th-TH"/>
              </w:rPr>
              <w:t>68</w:t>
            </w:r>
            <w:r>
              <w:rPr>
                <w:rFonts w:cs="Arial"/>
                <w:color w:val="000000"/>
                <w:lang w:eastAsia="zh-CN" w:bidi="th-TH"/>
              </w:rPr>
              <w:t>)</w:t>
            </w:r>
          </w:p>
        </w:tc>
      </w:tr>
      <w:tr w:rsidR="008D2291" w:rsidRPr="003A7C01" w14:paraId="341A8FB2" w14:textId="77777777" w:rsidTr="002F2070">
        <w:trPr>
          <w:cantSplit/>
          <w:trHeight w:val="752"/>
        </w:trPr>
        <w:tc>
          <w:tcPr>
            <w:tcW w:w="4134" w:type="dxa"/>
            <w:shd w:val="clear" w:color="auto" w:fill="auto"/>
            <w:vAlign w:val="center"/>
            <w:hideMark/>
          </w:tcPr>
          <w:p w14:paraId="036DE41A"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Administration </w:t>
            </w:r>
          </w:p>
        </w:tc>
        <w:tc>
          <w:tcPr>
            <w:tcW w:w="1834" w:type="dxa"/>
            <w:shd w:val="clear" w:color="auto" w:fill="auto"/>
            <w:vAlign w:val="center"/>
            <w:hideMark/>
          </w:tcPr>
          <w:p w14:paraId="37B7D147" w14:textId="70189191" w:rsidR="0B2DEDFC" w:rsidRDefault="009F7414" w:rsidP="0B2DEDFC">
            <w:pPr>
              <w:spacing w:after="0" w:line="240" w:lineRule="auto"/>
              <w:jc w:val="right"/>
              <w:rPr>
                <w:rFonts w:cs="Arial"/>
                <w:color w:val="000000" w:themeColor="text1"/>
                <w:lang w:eastAsia="zh-CN" w:bidi="th-TH"/>
              </w:rPr>
            </w:pPr>
            <w:r>
              <w:rPr>
                <w:rFonts w:cs="Arial"/>
                <w:color w:val="000000" w:themeColor="text1"/>
                <w:lang w:eastAsia="zh-CN" w:bidi="th-TH"/>
              </w:rPr>
              <w:t>(7,708)</w:t>
            </w:r>
          </w:p>
        </w:tc>
        <w:tc>
          <w:tcPr>
            <w:tcW w:w="1834" w:type="dxa"/>
            <w:shd w:val="clear" w:color="auto" w:fill="D9D9D9" w:themeFill="background1" w:themeFillShade="D9"/>
            <w:vAlign w:val="center"/>
            <w:hideMark/>
          </w:tcPr>
          <w:p w14:paraId="575A74C6" w14:textId="72BF2011"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(6,416)</w:t>
            </w:r>
          </w:p>
        </w:tc>
        <w:tc>
          <w:tcPr>
            <w:tcW w:w="1691" w:type="dxa"/>
            <w:shd w:val="clear" w:color="auto" w:fill="auto"/>
            <w:vAlign w:val="center"/>
            <w:hideMark/>
          </w:tcPr>
          <w:p w14:paraId="443EB109" w14:textId="293E2915"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w:t>
            </w:r>
            <w:r w:rsidR="00152AF4">
              <w:rPr>
                <w:rFonts w:cs="Arial"/>
                <w:color w:val="000000"/>
                <w:lang w:eastAsia="zh-CN" w:bidi="th-TH"/>
              </w:rPr>
              <w:t>7,</w:t>
            </w:r>
            <w:r w:rsidR="00AE3EF6">
              <w:rPr>
                <w:rFonts w:cs="Arial"/>
                <w:color w:val="000000"/>
                <w:lang w:eastAsia="zh-CN" w:bidi="th-TH"/>
              </w:rPr>
              <w:t>381</w:t>
            </w:r>
            <w:r w:rsidR="00152AF4">
              <w:rPr>
                <w:rFonts w:cs="Arial"/>
                <w:color w:val="000000"/>
                <w:lang w:eastAsia="zh-CN" w:bidi="th-TH"/>
              </w:rPr>
              <w:t>)</w:t>
            </w:r>
          </w:p>
        </w:tc>
      </w:tr>
      <w:tr w:rsidR="008D2291" w:rsidRPr="003A7C01" w14:paraId="005DE55C" w14:textId="77777777" w:rsidTr="002F2070">
        <w:trPr>
          <w:cantSplit/>
          <w:trHeight w:val="752"/>
        </w:trPr>
        <w:tc>
          <w:tcPr>
            <w:tcW w:w="4134" w:type="dxa"/>
            <w:shd w:val="clear" w:color="auto" w:fill="auto"/>
            <w:vAlign w:val="center"/>
            <w:hideMark/>
          </w:tcPr>
          <w:p w14:paraId="7A0768F1"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Depreciation and Revaluation </w:t>
            </w:r>
          </w:p>
        </w:tc>
        <w:tc>
          <w:tcPr>
            <w:tcW w:w="1834" w:type="dxa"/>
            <w:shd w:val="clear" w:color="auto" w:fill="auto"/>
            <w:vAlign w:val="center"/>
            <w:hideMark/>
          </w:tcPr>
          <w:p w14:paraId="435888A0" w14:textId="50BADCAD" w:rsidR="0B2DEDFC" w:rsidRDefault="009F7414" w:rsidP="0B2DEDFC">
            <w:pPr>
              <w:spacing w:after="0" w:line="240" w:lineRule="auto"/>
              <w:jc w:val="right"/>
              <w:rPr>
                <w:rFonts w:cs="Arial"/>
                <w:color w:val="000000" w:themeColor="text1"/>
                <w:lang w:eastAsia="zh-CN" w:bidi="th-TH"/>
              </w:rPr>
            </w:pPr>
            <w:r>
              <w:rPr>
                <w:rFonts w:cs="Arial"/>
                <w:color w:val="000000" w:themeColor="text1"/>
                <w:lang w:eastAsia="zh-CN" w:bidi="th-TH"/>
              </w:rPr>
              <w:t>(1,389)</w:t>
            </w:r>
          </w:p>
        </w:tc>
        <w:tc>
          <w:tcPr>
            <w:tcW w:w="1834" w:type="dxa"/>
            <w:shd w:val="clear" w:color="auto" w:fill="D9D9D9" w:themeFill="background1" w:themeFillShade="D9"/>
            <w:vAlign w:val="center"/>
            <w:hideMark/>
          </w:tcPr>
          <w:p w14:paraId="23DCC666" w14:textId="2BB0AEB8" w:rsidR="008D2291" w:rsidRPr="003A7C01" w:rsidRDefault="001B3286" w:rsidP="0B2DEDFC">
            <w:pPr>
              <w:spacing w:after="0" w:line="240" w:lineRule="auto"/>
              <w:jc w:val="right"/>
              <w:rPr>
                <w:rFonts w:cs="Arial"/>
                <w:color w:val="000000"/>
                <w:lang w:eastAsia="zh-CN" w:bidi="th-TH"/>
              </w:rPr>
            </w:pPr>
            <w:r>
              <w:rPr>
                <w:rFonts w:cs="Arial"/>
                <w:color w:val="000000"/>
                <w:lang w:eastAsia="zh-CN" w:bidi="th-TH"/>
              </w:rPr>
              <w:t>(811)</w:t>
            </w:r>
          </w:p>
        </w:tc>
        <w:tc>
          <w:tcPr>
            <w:tcW w:w="1691" w:type="dxa"/>
            <w:shd w:val="clear" w:color="auto" w:fill="auto"/>
            <w:vAlign w:val="center"/>
            <w:hideMark/>
          </w:tcPr>
          <w:p w14:paraId="67B4062D" w14:textId="342B8277" w:rsidR="008D2291" w:rsidRPr="003A7C01" w:rsidRDefault="00152AF4" w:rsidP="0B2DEDFC">
            <w:pPr>
              <w:spacing w:after="0" w:line="240" w:lineRule="auto"/>
              <w:jc w:val="right"/>
              <w:rPr>
                <w:rFonts w:cs="Arial"/>
                <w:color w:val="000000"/>
                <w:lang w:eastAsia="zh-CN" w:bidi="th-TH"/>
              </w:rPr>
            </w:pPr>
            <w:r>
              <w:rPr>
                <w:rFonts w:cs="Arial"/>
                <w:color w:val="000000"/>
                <w:lang w:eastAsia="zh-CN" w:bidi="th-TH"/>
              </w:rPr>
              <w:t>(936)</w:t>
            </w:r>
          </w:p>
        </w:tc>
      </w:tr>
      <w:tr w:rsidR="008D2291" w:rsidRPr="003A7C01" w14:paraId="5153D387" w14:textId="77777777" w:rsidTr="002F2070">
        <w:trPr>
          <w:cantSplit/>
          <w:trHeight w:val="752"/>
        </w:trPr>
        <w:tc>
          <w:tcPr>
            <w:tcW w:w="4134" w:type="dxa"/>
            <w:shd w:val="clear" w:color="auto" w:fill="D9D9D9" w:themeFill="background1" w:themeFillShade="D9"/>
            <w:vAlign w:val="center"/>
            <w:hideMark/>
          </w:tcPr>
          <w:p w14:paraId="2D34BB50" w14:textId="77777777" w:rsidR="008D2291" w:rsidRPr="003A7C01" w:rsidRDefault="008D22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Total Expenditure</w:t>
            </w:r>
            <w:r w:rsidRPr="003A7C01">
              <w:rPr>
                <w:rFonts w:cs="Arial"/>
                <w:color w:val="000000"/>
                <w:szCs w:val="22"/>
                <w:lang w:eastAsia="zh-CN" w:bidi="th-TH"/>
              </w:rPr>
              <w:t> </w:t>
            </w:r>
          </w:p>
        </w:tc>
        <w:tc>
          <w:tcPr>
            <w:tcW w:w="1834" w:type="dxa"/>
            <w:shd w:val="clear" w:color="auto" w:fill="D9D9D9" w:themeFill="background1" w:themeFillShade="D9"/>
            <w:vAlign w:val="center"/>
            <w:hideMark/>
          </w:tcPr>
          <w:p w14:paraId="0FC71CD5" w14:textId="0438DCDC" w:rsidR="0B2DEDFC" w:rsidRDefault="009F7414" w:rsidP="0B2DEDFC">
            <w:pPr>
              <w:spacing w:after="0" w:line="240" w:lineRule="auto"/>
              <w:jc w:val="right"/>
              <w:rPr>
                <w:rFonts w:cs="Arial"/>
                <w:b/>
                <w:bCs/>
                <w:color w:val="000000" w:themeColor="text1"/>
                <w:lang w:eastAsia="zh-CN" w:bidi="th-TH"/>
              </w:rPr>
            </w:pPr>
            <w:r>
              <w:rPr>
                <w:rFonts w:cs="Arial"/>
                <w:b/>
                <w:bCs/>
                <w:color w:val="000000" w:themeColor="text1"/>
                <w:lang w:eastAsia="zh-CN" w:bidi="th-TH"/>
              </w:rPr>
              <w:t>(</w:t>
            </w:r>
            <w:r w:rsidR="001B3286">
              <w:rPr>
                <w:rFonts w:cs="Arial"/>
                <w:b/>
                <w:bCs/>
                <w:color w:val="000000" w:themeColor="text1"/>
                <w:lang w:eastAsia="zh-CN" w:bidi="th-TH"/>
              </w:rPr>
              <w:t>97,072)</w:t>
            </w:r>
          </w:p>
        </w:tc>
        <w:tc>
          <w:tcPr>
            <w:tcW w:w="1834" w:type="dxa"/>
            <w:shd w:val="clear" w:color="auto" w:fill="D9D9D9" w:themeFill="background1" w:themeFillShade="D9"/>
            <w:vAlign w:val="center"/>
            <w:hideMark/>
          </w:tcPr>
          <w:p w14:paraId="1069FD47" w14:textId="147D9E4B" w:rsidR="008D2291" w:rsidRPr="003A7C01" w:rsidRDefault="001B3286" w:rsidP="0B2DEDFC">
            <w:pPr>
              <w:spacing w:after="0" w:line="240" w:lineRule="auto"/>
              <w:jc w:val="right"/>
              <w:rPr>
                <w:rFonts w:cs="Arial"/>
                <w:b/>
                <w:bCs/>
                <w:color w:val="000000"/>
                <w:lang w:eastAsia="zh-CN" w:bidi="th-TH"/>
              </w:rPr>
            </w:pPr>
            <w:r>
              <w:rPr>
                <w:rFonts w:cs="Arial"/>
                <w:b/>
                <w:bCs/>
                <w:color w:val="000000"/>
                <w:lang w:eastAsia="zh-CN" w:bidi="th-TH"/>
              </w:rPr>
              <w:t>(90,815)</w:t>
            </w:r>
          </w:p>
        </w:tc>
        <w:tc>
          <w:tcPr>
            <w:tcW w:w="1691" w:type="dxa"/>
            <w:shd w:val="clear" w:color="auto" w:fill="D9D9D9" w:themeFill="background1" w:themeFillShade="D9"/>
            <w:vAlign w:val="center"/>
            <w:hideMark/>
          </w:tcPr>
          <w:p w14:paraId="4D264C8E" w14:textId="399EC7E7" w:rsidR="008D2291" w:rsidRPr="003A7C01" w:rsidRDefault="00152AF4" w:rsidP="0B2DEDFC">
            <w:pPr>
              <w:spacing w:after="0" w:line="240" w:lineRule="auto"/>
              <w:jc w:val="right"/>
              <w:rPr>
                <w:rFonts w:cs="Arial"/>
                <w:b/>
                <w:bCs/>
                <w:color w:val="000000"/>
                <w:lang w:eastAsia="zh-CN" w:bidi="th-TH"/>
              </w:rPr>
            </w:pPr>
            <w:r>
              <w:rPr>
                <w:rFonts w:cs="Arial"/>
                <w:b/>
                <w:bCs/>
                <w:color w:val="000000"/>
                <w:lang w:eastAsia="zh-CN" w:bidi="th-TH"/>
              </w:rPr>
              <w:t>(94,</w:t>
            </w:r>
            <w:r w:rsidR="00B3313C">
              <w:rPr>
                <w:rFonts w:cs="Arial"/>
                <w:b/>
                <w:bCs/>
                <w:color w:val="000000"/>
                <w:lang w:eastAsia="zh-CN" w:bidi="th-TH"/>
              </w:rPr>
              <w:t>731</w:t>
            </w:r>
            <w:r>
              <w:rPr>
                <w:rFonts w:cs="Arial"/>
                <w:b/>
                <w:bCs/>
                <w:color w:val="000000"/>
                <w:lang w:eastAsia="zh-CN" w:bidi="th-TH"/>
              </w:rPr>
              <w:t>)</w:t>
            </w:r>
          </w:p>
        </w:tc>
      </w:tr>
    </w:tbl>
    <w:p w14:paraId="515AFF76" w14:textId="4817AC6F" w:rsidR="009656BE" w:rsidRDefault="009656BE" w:rsidP="008A7471"/>
    <w:sectPr w:rsidR="009656BE" w:rsidSect="00FB424D">
      <w:headerReference w:type="even" r:id="rId18"/>
      <w:headerReference w:type="default" r:id="rId19"/>
      <w:footerReference w:type="even" r:id="rId20"/>
      <w:footerReference w:type="default" r:id="rId21"/>
      <w:headerReference w:type="first" r:id="rId22"/>
      <w:footerReference w:type="first" r:id="rId23"/>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B2269" w14:textId="77777777" w:rsidR="00CD502B" w:rsidRDefault="00CD502B">
      <w:pPr>
        <w:spacing w:after="0" w:line="240" w:lineRule="auto"/>
      </w:pPr>
      <w:r>
        <w:separator/>
      </w:r>
    </w:p>
  </w:endnote>
  <w:endnote w:type="continuationSeparator" w:id="0">
    <w:p w14:paraId="7171F41D" w14:textId="77777777" w:rsidR="00CD502B" w:rsidRDefault="00CD502B">
      <w:pPr>
        <w:spacing w:after="0" w:line="240" w:lineRule="auto"/>
      </w:pPr>
      <w:r>
        <w:continuationSeparator/>
      </w:r>
    </w:p>
  </w:endnote>
  <w:endnote w:type="continuationNotice" w:id="1">
    <w:p w14:paraId="426AB8AF" w14:textId="77777777" w:rsidR="00CD502B" w:rsidRDefault="00CD5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2"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1E1DD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10"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17C32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988FA" w14:textId="77777777" w:rsidR="00CD502B" w:rsidRDefault="00CD502B">
      <w:pPr>
        <w:spacing w:after="0" w:line="240" w:lineRule="auto"/>
      </w:pPr>
      <w:r>
        <w:separator/>
      </w:r>
    </w:p>
  </w:footnote>
  <w:footnote w:type="continuationSeparator" w:id="0">
    <w:p w14:paraId="4D3C3615" w14:textId="77777777" w:rsidR="00CD502B" w:rsidRDefault="00CD502B">
      <w:pPr>
        <w:spacing w:after="0" w:line="240" w:lineRule="auto"/>
      </w:pPr>
      <w:r>
        <w:continuationSeparator/>
      </w:r>
    </w:p>
  </w:footnote>
  <w:footnote w:type="continuationNotice" w:id="1">
    <w:p w14:paraId="3300C9DA" w14:textId="77777777" w:rsidR="00CD502B" w:rsidRDefault="00CD502B">
      <w:pPr>
        <w:spacing w:after="0" w:line="240" w:lineRule="auto"/>
      </w:pPr>
    </w:p>
  </w:footnote>
  <w:footnote w:id="2">
    <w:p w14:paraId="4787A6E0" w14:textId="2AE7506C" w:rsidR="00710BBC" w:rsidRPr="00710BBC" w:rsidRDefault="00710BBC" w:rsidP="00710BBC">
      <w:pPr>
        <w:pStyle w:val="FootnoteText"/>
        <w:spacing w:after="0" w:line="240" w:lineRule="auto"/>
        <w:rPr>
          <w:lang w:val="en-US"/>
        </w:rPr>
      </w:pPr>
      <w:r>
        <w:rPr>
          <w:rStyle w:val="FootnoteReference"/>
        </w:rPr>
        <w:footnoteRef/>
      </w:r>
      <w:r>
        <w:t xml:space="preserve"> </w:t>
      </w:r>
      <w:r>
        <w:tab/>
      </w:r>
      <w:r w:rsidRPr="00710BBC">
        <w:t>A unique client is an individual who has accessed one or more of our legal assistance services during the financial year and with whom a client-lawyer relationship was formed. We count our clients the first time we see them in the financial year only even though some clients may receive multiple services throughout the financial year. This definition does not include individuals who have received information over the phone or via our online web chat (Legal Help), from our website, in person at a court counter, or those who have attended one of our community legal education sessions. It also excludes individuals who have received one of our independent advocacy and specialist resolution services</w:t>
      </w:r>
      <w:r>
        <w:t xml:space="preserve">. </w:t>
      </w:r>
    </w:p>
  </w:footnote>
  <w:footnote w:id="3">
    <w:p w14:paraId="1DBF077D" w14:textId="0F706026" w:rsidR="00710BBC" w:rsidRPr="00710BBC" w:rsidRDefault="00710BBC" w:rsidP="00710BBC">
      <w:pPr>
        <w:spacing w:after="0" w:line="240" w:lineRule="auto"/>
        <w:rPr>
          <w:sz w:val="18"/>
          <w:szCs w:val="18"/>
        </w:rPr>
      </w:pPr>
      <w:r>
        <w:rPr>
          <w:rStyle w:val="FootnoteReference"/>
        </w:rPr>
        <w:footnoteRef/>
      </w:r>
      <w:r>
        <w:t xml:space="preserve"> </w:t>
      </w:r>
      <w:r w:rsidRPr="0B2DEDFC">
        <w:rPr>
          <w:sz w:val="18"/>
          <w:szCs w:val="18"/>
        </w:rPr>
        <w:t>Engaged sessions are when a website session lasts longer than ten seconds, when a session includes at least one conversion, or when a session includes two or more page 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724EA73">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BF1962" w:rsidR="00BF1962" w:rsidP="00BF1962" w:rsidRDefault="00BF1962" w14:paraId="5E1ED698" w14:textId="77777777">
                    <w:pPr>
                      <w:spacing w:after="0"/>
                      <w:rPr>
                        <w:rFonts w:ascii="Calibri" w:hAnsi="Calibri" w:eastAsia="Calibri" w:cs="Calibri"/>
                        <w:noProof/>
                        <w:color w:val="000000"/>
                        <w:szCs w:val="22"/>
                      </w:rPr>
                    </w:pPr>
                    <w:r w:rsidRPr="00BF1962">
                      <w:rPr>
                        <w:rFonts w:ascii="Calibri" w:hAnsi="Calibri" w:eastAsia="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A654" w14:textId="50A831A2"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5F84F7BB">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type id="_x0000_t202" coordsize="21600,21600" o:spt="202" path="m,l,21600r21600,l21600,xe" w14:anchorId="6C5E778E">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BF1962" w:rsidR="00BF1962" w:rsidP="00BF1962" w:rsidRDefault="00BF1962" w14:paraId="1892CC29" w14:textId="77777777">
                    <w:pPr>
                      <w:spacing w:after="0"/>
                      <w:rPr>
                        <w:rFonts w:ascii="Calibri" w:hAnsi="Calibri" w:eastAsia="Calibri" w:cs="Calibri"/>
                        <w:noProof/>
                        <w:color w:val="000000"/>
                        <w:szCs w:val="22"/>
                      </w:rPr>
                    </w:pPr>
                    <w:r w:rsidRPr="00BF1962">
                      <w:rPr>
                        <w:rFonts w:ascii="Calibri" w:hAnsi="Calibri" w:eastAsia="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62E411D3"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xmlns:arto="http://schemas.microsoft.com/office/word/2006/arto">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0DF5B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202</w:t>
    </w:r>
    <w:r w:rsidR="0054531D">
      <w:rPr>
        <w:rFonts w:ascii="Arial Bold" w:hAnsi="Arial Bold" w:cs="Arial"/>
        <w:b/>
        <w:color w:val="B1005D"/>
        <w:sz w:val="18"/>
        <w:szCs w:val="18"/>
      </w:rPr>
      <w:t>4</w:t>
    </w:r>
    <w:r w:rsidR="00366E11">
      <w:rPr>
        <w:rFonts w:ascii="Arial Bold" w:hAnsi="Arial Bold" w:cs="Arial"/>
        <w:b/>
        <w:color w:val="B1005D"/>
        <w:sz w:val="18"/>
        <w:szCs w:val="18"/>
      </w:rPr>
      <w:t>-2</w:t>
    </w:r>
    <w:r w:rsidR="0054531D">
      <w:rPr>
        <w:rFonts w:ascii="Arial Bold" w:hAnsi="Arial Bold" w:cs="Arial"/>
        <w:b/>
        <w:color w:val="B1005D"/>
        <w:sz w:val="18"/>
        <w:szCs w:val="18"/>
      </w:rPr>
      <w:t>5</w:t>
    </w:r>
    <w:r w:rsidR="00366E11">
      <w:rPr>
        <w:rFonts w:ascii="Arial Bold" w:hAnsi="Arial Bold" w:cs="Arial"/>
        <w:b/>
        <w:color w:val="B1005D"/>
        <w:sz w:val="18"/>
        <w:szCs w:val="18"/>
      </w:rPr>
      <w:t xml:space="preserve"> Quarter </w:t>
    </w:r>
    <w:r w:rsidR="0054531D">
      <w:rPr>
        <w:rFonts w:ascii="Arial Bold" w:hAnsi="Arial Bold" w:cs="Arial"/>
        <w:b/>
        <w:color w:val="B1005D"/>
        <w:sz w:val="18"/>
        <w:szCs w:val="18"/>
      </w:rPr>
      <w:t>One</w:t>
    </w:r>
    <w:r w:rsidR="00AA3425">
      <w:rPr>
        <w:rFonts w:ascii="Arial Bold" w:hAnsi="Arial Bold" w:cs="Arial"/>
        <w:b/>
        <w:color w:val="B1005D"/>
        <w:sz w:val="18"/>
        <w:szCs w:val="18"/>
      </w:rPr>
      <w:t xml:space="preserve"> Rep</w:t>
    </w:r>
    <w:r w:rsidR="00366E11">
      <w:rPr>
        <w:rFonts w:ascii="Arial Bold" w:hAnsi="Arial Bold" w:cs="Arial"/>
        <w:b/>
        <w:color w:val="B1005D"/>
        <w:sz w:val="18"/>
        <w:szCs w:val="18"/>
      </w:rPr>
      <w:t>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60293" behindDoc="1" locked="0" layoutInCell="1" allowOverlap="1" wp14:anchorId="477E8A49" wp14:editId="379AE9DF">
          <wp:simplePos x="0" y="0"/>
          <wp:positionH relativeFrom="page">
            <wp:posOffset>0</wp:posOffset>
          </wp:positionH>
          <wp:positionV relativeFrom="page">
            <wp:posOffset>0</wp:posOffset>
          </wp:positionV>
          <wp:extent cx="7560000" cy="1270800"/>
          <wp:effectExtent l="0" t="0" r="0" b="0"/>
          <wp:wrapNone/>
          <wp:docPr id="2022406956" name="Picture 202240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intelligence2.xml><?xml version="1.0" encoding="utf-8"?>
<int2:intelligence xmlns:int2="http://schemas.microsoft.com/office/intelligence/2020/intelligence" xmlns:oel="http://schemas.microsoft.com/office/2019/extlst">
  <int2:observations>
    <int2:textHash int2:hashCode="i6M57zsZTYVhwW" int2:id="K2SxzY7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7C4C45F6"/>
    <w:multiLevelType w:val="hybridMultilevel"/>
    <w:tmpl w:val="715C4AF8"/>
    <w:lvl w:ilvl="0" w:tplc="D8DC2CD6">
      <w:start w:val="2024"/>
      <w:numFmt w:val="bullet"/>
      <w:lvlText w:val="-"/>
      <w:lvlJc w:val="left"/>
      <w:pPr>
        <w:ind w:left="720" w:hanging="360"/>
      </w:pPr>
      <w:rPr>
        <w:rFonts w:ascii="Arial" w:eastAsia="Arial Bold"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6"/>
  </w:num>
  <w:num w:numId="25" w16cid:durableId="1052269589">
    <w:abstractNumId w:val="15"/>
  </w:num>
  <w:num w:numId="26" w16cid:durableId="7011343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jexNLc0NjSzMLZQ0lEKTi0uzszPAykwqwUAAn3dcCwAAAA="/>
  </w:docVars>
  <w:rsids>
    <w:rsidRoot w:val="008A7471"/>
    <w:rsid w:val="0000363D"/>
    <w:rsid w:val="00003CF7"/>
    <w:rsid w:val="000055D5"/>
    <w:rsid w:val="00006700"/>
    <w:rsid w:val="0000731B"/>
    <w:rsid w:val="00007954"/>
    <w:rsid w:val="000101AD"/>
    <w:rsid w:val="0001078C"/>
    <w:rsid w:val="00011FB7"/>
    <w:rsid w:val="00012F07"/>
    <w:rsid w:val="00013720"/>
    <w:rsid w:val="00014299"/>
    <w:rsid w:val="000168A4"/>
    <w:rsid w:val="00023DD5"/>
    <w:rsid w:val="00030007"/>
    <w:rsid w:val="00031388"/>
    <w:rsid w:val="000315EB"/>
    <w:rsid w:val="00031C37"/>
    <w:rsid w:val="00031CC2"/>
    <w:rsid w:val="00032C2F"/>
    <w:rsid w:val="00035BCE"/>
    <w:rsid w:val="00036A95"/>
    <w:rsid w:val="00040C11"/>
    <w:rsid w:val="00042D08"/>
    <w:rsid w:val="00043E35"/>
    <w:rsid w:val="00043F10"/>
    <w:rsid w:val="000443F0"/>
    <w:rsid w:val="00046488"/>
    <w:rsid w:val="00046F8C"/>
    <w:rsid w:val="00047038"/>
    <w:rsid w:val="00047943"/>
    <w:rsid w:val="00047DF7"/>
    <w:rsid w:val="00050DFA"/>
    <w:rsid w:val="000511A5"/>
    <w:rsid w:val="00051AAC"/>
    <w:rsid w:val="00052CC2"/>
    <w:rsid w:val="00053F39"/>
    <w:rsid w:val="00054AA3"/>
    <w:rsid w:val="000551D2"/>
    <w:rsid w:val="00056D2F"/>
    <w:rsid w:val="0005766A"/>
    <w:rsid w:val="00057E54"/>
    <w:rsid w:val="00060CC4"/>
    <w:rsid w:val="00061194"/>
    <w:rsid w:val="00061BA6"/>
    <w:rsid w:val="00062818"/>
    <w:rsid w:val="000629BC"/>
    <w:rsid w:val="00064DF5"/>
    <w:rsid w:val="0006512A"/>
    <w:rsid w:val="00065D7C"/>
    <w:rsid w:val="00065FA9"/>
    <w:rsid w:val="00066921"/>
    <w:rsid w:val="00066FB6"/>
    <w:rsid w:val="000674D4"/>
    <w:rsid w:val="00070301"/>
    <w:rsid w:val="00072D87"/>
    <w:rsid w:val="00073852"/>
    <w:rsid w:val="000738A2"/>
    <w:rsid w:val="00074909"/>
    <w:rsid w:val="00074DBE"/>
    <w:rsid w:val="00076C5A"/>
    <w:rsid w:val="00077831"/>
    <w:rsid w:val="0007785B"/>
    <w:rsid w:val="0007787E"/>
    <w:rsid w:val="00081C50"/>
    <w:rsid w:val="00081E71"/>
    <w:rsid w:val="00082332"/>
    <w:rsid w:val="000833CE"/>
    <w:rsid w:val="00083A73"/>
    <w:rsid w:val="000843DB"/>
    <w:rsid w:val="0008464D"/>
    <w:rsid w:val="00084DA2"/>
    <w:rsid w:val="000855C3"/>
    <w:rsid w:val="00085934"/>
    <w:rsid w:val="00092107"/>
    <w:rsid w:val="00092CBC"/>
    <w:rsid w:val="00094E8D"/>
    <w:rsid w:val="00095021"/>
    <w:rsid w:val="000964B7"/>
    <w:rsid w:val="000966A4"/>
    <w:rsid w:val="00096976"/>
    <w:rsid w:val="00096B52"/>
    <w:rsid w:val="00096D29"/>
    <w:rsid w:val="0009729F"/>
    <w:rsid w:val="00097448"/>
    <w:rsid w:val="00097B75"/>
    <w:rsid w:val="00097D97"/>
    <w:rsid w:val="000A0349"/>
    <w:rsid w:val="000A0437"/>
    <w:rsid w:val="000A0A14"/>
    <w:rsid w:val="000A0A5F"/>
    <w:rsid w:val="000A1E3F"/>
    <w:rsid w:val="000A23E0"/>
    <w:rsid w:val="000A2FBE"/>
    <w:rsid w:val="000A3192"/>
    <w:rsid w:val="000A3C2D"/>
    <w:rsid w:val="000A6698"/>
    <w:rsid w:val="000B18B2"/>
    <w:rsid w:val="000B1BAA"/>
    <w:rsid w:val="000B2451"/>
    <w:rsid w:val="000B4060"/>
    <w:rsid w:val="000C0DF2"/>
    <w:rsid w:val="000C11B3"/>
    <w:rsid w:val="000C1266"/>
    <w:rsid w:val="000C14B8"/>
    <w:rsid w:val="000C1648"/>
    <w:rsid w:val="000C1781"/>
    <w:rsid w:val="000C1994"/>
    <w:rsid w:val="000C33B9"/>
    <w:rsid w:val="000C3DF5"/>
    <w:rsid w:val="000C5254"/>
    <w:rsid w:val="000C681C"/>
    <w:rsid w:val="000C73C0"/>
    <w:rsid w:val="000C7FB4"/>
    <w:rsid w:val="000D273F"/>
    <w:rsid w:val="000D2C9F"/>
    <w:rsid w:val="000D423D"/>
    <w:rsid w:val="000D48C2"/>
    <w:rsid w:val="000D4D7D"/>
    <w:rsid w:val="000D51FF"/>
    <w:rsid w:val="000D713B"/>
    <w:rsid w:val="000D751B"/>
    <w:rsid w:val="000D7C27"/>
    <w:rsid w:val="000E0791"/>
    <w:rsid w:val="000E0883"/>
    <w:rsid w:val="000E0E3B"/>
    <w:rsid w:val="000E2458"/>
    <w:rsid w:val="000E3D3D"/>
    <w:rsid w:val="000E57EE"/>
    <w:rsid w:val="000E5C8B"/>
    <w:rsid w:val="000E6FC7"/>
    <w:rsid w:val="000E78F8"/>
    <w:rsid w:val="000E7AB2"/>
    <w:rsid w:val="000F0C95"/>
    <w:rsid w:val="000F1F56"/>
    <w:rsid w:val="000F1F99"/>
    <w:rsid w:val="000F205E"/>
    <w:rsid w:val="000F3229"/>
    <w:rsid w:val="000F330B"/>
    <w:rsid w:val="000F3DB1"/>
    <w:rsid w:val="000F473B"/>
    <w:rsid w:val="000F5D53"/>
    <w:rsid w:val="000F6F1C"/>
    <w:rsid w:val="000F7632"/>
    <w:rsid w:val="000F7B6C"/>
    <w:rsid w:val="0010038C"/>
    <w:rsid w:val="0010136E"/>
    <w:rsid w:val="00102230"/>
    <w:rsid w:val="00102AC2"/>
    <w:rsid w:val="00104769"/>
    <w:rsid w:val="00104903"/>
    <w:rsid w:val="00105412"/>
    <w:rsid w:val="0010544B"/>
    <w:rsid w:val="00105467"/>
    <w:rsid w:val="00106927"/>
    <w:rsid w:val="001069F6"/>
    <w:rsid w:val="0010759F"/>
    <w:rsid w:val="00111796"/>
    <w:rsid w:val="00111909"/>
    <w:rsid w:val="00112CA5"/>
    <w:rsid w:val="00112FD2"/>
    <w:rsid w:val="001155F7"/>
    <w:rsid w:val="001158DB"/>
    <w:rsid w:val="00115AEE"/>
    <w:rsid w:val="00116EC4"/>
    <w:rsid w:val="00121784"/>
    <w:rsid w:val="00122E1E"/>
    <w:rsid w:val="00123ACF"/>
    <w:rsid w:val="0012449A"/>
    <w:rsid w:val="001244F5"/>
    <w:rsid w:val="00124914"/>
    <w:rsid w:val="00124A07"/>
    <w:rsid w:val="00124DB1"/>
    <w:rsid w:val="00125593"/>
    <w:rsid w:val="001261EC"/>
    <w:rsid w:val="00126C38"/>
    <w:rsid w:val="001271E7"/>
    <w:rsid w:val="0013032D"/>
    <w:rsid w:val="00130905"/>
    <w:rsid w:val="00131B6B"/>
    <w:rsid w:val="00131BF1"/>
    <w:rsid w:val="00132B12"/>
    <w:rsid w:val="00133AC1"/>
    <w:rsid w:val="00134064"/>
    <w:rsid w:val="00136E04"/>
    <w:rsid w:val="00137131"/>
    <w:rsid w:val="00140EB9"/>
    <w:rsid w:val="00141544"/>
    <w:rsid w:val="00141CBD"/>
    <w:rsid w:val="001423A0"/>
    <w:rsid w:val="00143030"/>
    <w:rsid w:val="00143E94"/>
    <w:rsid w:val="001442B1"/>
    <w:rsid w:val="00146067"/>
    <w:rsid w:val="00146813"/>
    <w:rsid w:val="00150B98"/>
    <w:rsid w:val="00151E61"/>
    <w:rsid w:val="001523DE"/>
    <w:rsid w:val="001529B6"/>
    <w:rsid w:val="00152AF4"/>
    <w:rsid w:val="00153F81"/>
    <w:rsid w:val="001548DD"/>
    <w:rsid w:val="0015634A"/>
    <w:rsid w:val="0015726F"/>
    <w:rsid w:val="00157397"/>
    <w:rsid w:val="001573E6"/>
    <w:rsid w:val="001600C6"/>
    <w:rsid w:val="00160579"/>
    <w:rsid w:val="001618E9"/>
    <w:rsid w:val="001623E2"/>
    <w:rsid w:val="0016267F"/>
    <w:rsid w:val="00162C75"/>
    <w:rsid w:val="0016357C"/>
    <w:rsid w:val="00163CC3"/>
    <w:rsid w:val="0016445A"/>
    <w:rsid w:val="001648B6"/>
    <w:rsid w:val="00164ABB"/>
    <w:rsid w:val="00165333"/>
    <w:rsid w:val="001659FE"/>
    <w:rsid w:val="00165DEF"/>
    <w:rsid w:val="00167A77"/>
    <w:rsid w:val="00167DFA"/>
    <w:rsid w:val="0017000E"/>
    <w:rsid w:val="0017094E"/>
    <w:rsid w:val="00172D99"/>
    <w:rsid w:val="001737CD"/>
    <w:rsid w:val="00173D18"/>
    <w:rsid w:val="00173E50"/>
    <w:rsid w:val="00174E9C"/>
    <w:rsid w:val="00174FBE"/>
    <w:rsid w:val="0017501A"/>
    <w:rsid w:val="00176774"/>
    <w:rsid w:val="001777C8"/>
    <w:rsid w:val="001803D6"/>
    <w:rsid w:val="001804A8"/>
    <w:rsid w:val="00181518"/>
    <w:rsid w:val="00181811"/>
    <w:rsid w:val="00181C91"/>
    <w:rsid w:val="00181ECE"/>
    <w:rsid w:val="00182147"/>
    <w:rsid w:val="00182437"/>
    <w:rsid w:val="00185072"/>
    <w:rsid w:val="00185516"/>
    <w:rsid w:val="00185DCF"/>
    <w:rsid w:val="0018629E"/>
    <w:rsid w:val="00186D3B"/>
    <w:rsid w:val="00187B17"/>
    <w:rsid w:val="00190307"/>
    <w:rsid w:val="00190A92"/>
    <w:rsid w:val="00192FC1"/>
    <w:rsid w:val="00193E35"/>
    <w:rsid w:val="00194337"/>
    <w:rsid w:val="00194CAC"/>
    <w:rsid w:val="00194D49"/>
    <w:rsid w:val="00194FE7"/>
    <w:rsid w:val="00195E1D"/>
    <w:rsid w:val="001A267E"/>
    <w:rsid w:val="001A27AB"/>
    <w:rsid w:val="001A3478"/>
    <w:rsid w:val="001A4610"/>
    <w:rsid w:val="001A6E0C"/>
    <w:rsid w:val="001B023E"/>
    <w:rsid w:val="001B04CF"/>
    <w:rsid w:val="001B1907"/>
    <w:rsid w:val="001B3286"/>
    <w:rsid w:val="001B337D"/>
    <w:rsid w:val="001B532A"/>
    <w:rsid w:val="001B5543"/>
    <w:rsid w:val="001B56C6"/>
    <w:rsid w:val="001B57F9"/>
    <w:rsid w:val="001B5EFC"/>
    <w:rsid w:val="001B5FDA"/>
    <w:rsid w:val="001B6F8A"/>
    <w:rsid w:val="001B762D"/>
    <w:rsid w:val="001C0014"/>
    <w:rsid w:val="001C197A"/>
    <w:rsid w:val="001C2094"/>
    <w:rsid w:val="001C2560"/>
    <w:rsid w:val="001C27B9"/>
    <w:rsid w:val="001C2FA3"/>
    <w:rsid w:val="001C3BEC"/>
    <w:rsid w:val="001C3E6A"/>
    <w:rsid w:val="001C4390"/>
    <w:rsid w:val="001C4D0F"/>
    <w:rsid w:val="001C4D27"/>
    <w:rsid w:val="001C5AB4"/>
    <w:rsid w:val="001D01E3"/>
    <w:rsid w:val="001D102B"/>
    <w:rsid w:val="001D208F"/>
    <w:rsid w:val="001D21CA"/>
    <w:rsid w:val="001D2F76"/>
    <w:rsid w:val="001D4503"/>
    <w:rsid w:val="001D4587"/>
    <w:rsid w:val="001D526D"/>
    <w:rsid w:val="001D7592"/>
    <w:rsid w:val="001E142E"/>
    <w:rsid w:val="001E2D5B"/>
    <w:rsid w:val="001E3077"/>
    <w:rsid w:val="001E3078"/>
    <w:rsid w:val="001E348D"/>
    <w:rsid w:val="001E37CF"/>
    <w:rsid w:val="001E474C"/>
    <w:rsid w:val="001E49FC"/>
    <w:rsid w:val="001E578D"/>
    <w:rsid w:val="001E5D0D"/>
    <w:rsid w:val="001E6CD7"/>
    <w:rsid w:val="001F0235"/>
    <w:rsid w:val="001F07D9"/>
    <w:rsid w:val="001F2FCF"/>
    <w:rsid w:val="001F419C"/>
    <w:rsid w:val="001F4480"/>
    <w:rsid w:val="001F4753"/>
    <w:rsid w:val="001F4D90"/>
    <w:rsid w:val="001F57E3"/>
    <w:rsid w:val="001F5D5F"/>
    <w:rsid w:val="001F5E4B"/>
    <w:rsid w:val="001F62CA"/>
    <w:rsid w:val="00200D07"/>
    <w:rsid w:val="0020130C"/>
    <w:rsid w:val="00202466"/>
    <w:rsid w:val="00203CC4"/>
    <w:rsid w:val="00204ABA"/>
    <w:rsid w:val="00204CE6"/>
    <w:rsid w:val="00205321"/>
    <w:rsid w:val="00205C07"/>
    <w:rsid w:val="00205F61"/>
    <w:rsid w:val="002063B7"/>
    <w:rsid w:val="002070FA"/>
    <w:rsid w:val="0021071B"/>
    <w:rsid w:val="00210FA1"/>
    <w:rsid w:val="002110D2"/>
    <w:rsid w:val="00211F93"/>
    <w:rsid w:val="00212447"/>
    <w:rsid w:val="00212B87"/>
    <w:rsid w:val="0021369C"/>
    <w:rsid w:val="00215A92"/>
    <w:rsid w:val="0021652E"/>
    <w:rsid w:val="002176FD"/>
    <w:rsid w:val="00217C7B"/>
    <w:rsid w:val="00217DAD"/>
    <w:rsid w:val="002204E9"/>
    <w:rsid w:val="00220D53"/>
    <w:rsid w:val="00221939"/>
    <w:rsid w:val="00223BAF"/>
    <w:rsid w:val="00223F1E"/>
    <w:rsid w:val="00224324"/>
    <w:rsid w:val="00224E13"/>
    <w:rsid w:val="00225411"/>
    <w:rsid w:val="002258AD"/>
    <w:rsid w:val="0022647B"/>
    <w:rsid w:val="00226DD4"/>
    <w:rsid w:val="00230090"/>
    <w:rsid w:val="00230CE7"/>
    <w:rsid w:val="00230F9C"/>
    <w:rsid w:val="002314E7"/>
    <w:rsid w:val="002321E9"/>
    <w:rsid w:val="0023242D"/>
    <w:rsid w:val="002325A4"/>
    <w:rsid w:val="0023514D"/>
    <w:rsid w:val="00236A50"/>
    <w:rsid w:val="00236B20"/>
    <w:rsid w:val="00236F1F"/>
    <w:rsid w:val="002400E8"/>
    <w:rsid w:val="00240263"/>
    <w:rsid w:val="00240A0F"/>
    <w:rsid w:val="0024192D"/>
    <w:rsid w:val="00241A5C"/>
    <w:rsid w:val="00242208"/>
    <w:rsid w:val="002440DE"/>
    <w:rsid w:val="00244242"/>
    <w:rsid w:val="00244E32"/>
    <w:rsid w:val="002472CA"/>
    <w:rsid w:val="002474CD"/>
    <w:rsid w:val="00247FE6"/>
    <w:rsid w:val="002508F5"/>
    <w:rsid w:val="00250E42"/>
    <w:rsid w:val="0025136D"/>
    <w:rsid w:val="00252B37"/>
    <w:rsid w:val="002530AC"/>
    <w:rsid w:val="002530D0"/>
    <w:rsid w:val="00254EF0"/>
    <w:rsid w:val="00254F50"/>
    <w:rsid w:val="002577B4"/>
    <w:rsid w:val="00257B0C"/>
    <w:rsid w:val="00257D8E"/>
    <w:rsid w:val="00257E8B"/>
    <w:rsid w:val="002618E8"/>
    <w:rsid w:val="00261E14"/>
    <w:rsid w:val="00261F85"/>
    <w:rsid w:val="00263844"/>
    <w:rsid w:val="002647E7"/>
    <w:rsid w:val="0026665A"/>
    <w:rsid w:val="002666DD"/>
    <w:rsid w:val="0026712F"/>
    <w:rsid w:val="002671EC"/>
    <w:rsid w:val="002704A5"/>
    <w:rsid w:val="00270E39"/>
    <w:rsid w:val="0027109D"/>
    <w:rsid w:val="002714D4"/>
    <w:rsid w:val="00271ED1"/>
    <w:rsid w:val="00271FA0"/>
    <w:rsid w:val="00272291"/>
    <w:rsid w:val="002722E4"/>
    <w:rsid w:val="00272765"/>
    <w:rsid w:val="002729E8"/>
    <w:rsid w:val="002734B9"/>
    <w:rsid w:val="00273784"/>
    <w:rsid w:val="00273945"/>
    <w:rsid w:val="00273FEE"/>
    <w:rsid w:val="002751CD"/>
    <w:rsid w:val="00275593"/>
    <w:rsid w:val="00275C7D"/>
    <w:rsid w:val="002760F5"/>
    <w:rsid w:val="00276185"/>
    <w:rsid w:val="002766CF"/>
    <w:rsid w:val="00276CA2"/>
    <w:rsid w:val="00276D14"/>
    <w:rsid w:val="00276EAE"/>
    <w:rsid w:val="00277BF9"/>
    <w:rsid w:val="0028014A"/>
    <w:rsid w:val="00280EEA"/>
    <w:rsid w:val="00280FAF"/>
    <w:rsid w:val="00281BC1"/>
    <w:rsid w:val="0028315C"/>
    <w:rsid w:val="00283471"/>
    <w:rsid w:val="00283AC7"/>
    <w:rsid w:val="00284694"/>
    <w:rsid w:val="002846E1"/>
    <w:rsid w:val="00284B39"/>
    <w:rsid w:val="002863EC"/>
    <w:rsid w:val="0028649A"/>
    <w:rsid w:val="00286A65"/>
    <w:rsid w:val="00286C18"/>
    <w:rsid w:val="00286CAE"/>
    <w:rsid w:val="00287D3D"/>
    <w:rsid w:val="002910F9"/>
    <w:rsid w:val="002915FB"/>
    <w:rsid w:val="00291A1E"/>
    <w:rsid w:val="00292484"/>
    <w:rsid w:val="002924EE"/>
    <w:rsid w:val="00295BA9"/>
    <w:rsid w:val="00295D37"/>
    <w:rsid w:val="00296755"/>
    <w:rsid w:val="002A00F7"/>
    <w:rsid w:val="002A0448"/>
    <w:rsid w:val="002A0ED7"/>
    <w:rsid w:val="002A238B"/>
    <w:rsid w:val="002A26C4"/>
    <w:rsid w:val="002A3515"/>
    <w:rsid w:val="002A3F88"/>
    <w:rsid w:val="002A4595"/>
    <w:rsid w:val="002A48D0"/>
    <w:rsid w:val="002A5DDA"/>
    <w:rsid w:val="002A764E"/>
    <w:rsid w:val="002B00D3"/>
    <w:rsid w:val="002B089A"/>
    <w:rsid w:val="002B2498"/>
    <w:rsid w:val="002B2E86"/>
    <w:rsid w:val="002B3CE4"/>
    <w:rsid w:val="002B47E0"/>
    <w:rsid w:val="002B4D9A"/>
    <w:rsid w:val="002B4DF9"/>
    <w:rsid w:val="002B5281"/>
    <w:rsid w:val="002B5286"/>
    <w:rsid w:val="002B54CC"/>
    <w:rsid w:val="002C118A"/>
    <w:rsid w:val="002C3253"/>
    <w:rsid w:val="002C3A5E"/>
    <w:rsid w:val="002C4482"/>
    <w:rsid w:val="002C4EF6"/>
    <w:rsid w:val="002C776F"/>
    <w:rsid w:val="002D1E0C"/>
    <w:rsid w:val="002D1F2E"/>
    <w:rsid w:val="002D314B"/>
    <w:rsid w:val="002D323B"/>
    <w:rsid w:val="002D3707"/>
    <w:rsid w:val="002D40B1"/>
    <w:rsid w:val="002D48AB"/>
    <w:rsid w:val="002D4FDC"/>
    <w:rsid w:val="002D5773"/>
    <w:rsid w:val="002D6252"/>
    <w:rsid w:val="002D707C"/>
    <w:rsid w:val="002D748B"/>
    <w:rsid w:val="002D7DBA"/>
    <w:rsid w:val="002D7F39"/>
    <w:rsid w:val="002E1031"/>
    <w:rsid w:val="002E2145"/>
    <w:rsid w:val="002E3020"/>
    <w:rsid w:val="002E3AB9"/>
    <w:rsid w:val="002E4ECC"/>
    <w:rsid w:val="002E6422"/>
    <w:rsid w:val="002E65E7"/>
    <w:rsid w:val="002E69B8"/>
    <w:rsid w:val="002E6C79"/>
    <w:rsid w:val="002E72C3"/>
    <w:rsid w:val="002E779C"/>
    <w:rsid w:val="002F0A03"/>
    <w:rsid w:val="002F2070"/>
    <w:rsid w:val="002F2A8B"/>
    <w:rsid w:val="002F30A7"/>
    <w:rsid w:val="002F3B51"/>
    <w:rsid w:val="002F4BE8"/>
    <w:rsid w:val="002F6A2D"/>
    <w:rsid w:val="002F71D3"/>
    <w:rsid w:val="003003FA"/>
    <w:rsid w:val="00300E25"/>
    <w:rsid w:val="00300FDB"/>
    <w:rsid w:val="00302100"/>
    <w:rsid w:val="00302344"/>
    <w:rsid w:val="003027D7"/>
    <w:rsid w:val="00303BA1"/>
    <w:rsid w:val="00303C8F"/>
    <w:rsid w:val="003052FD"/>
    <w:rsid w:val="003059FE"/>
    <w:rsid w:val="003077BA"/>
    <w:rsid w:val="00307F6F"/>
    <w:rsid w:val="003118D3"/>
    <w:rsid w:val="0031233A"/>
    <w:rsid w:val="00312B69"/>
    <w:rsid w:val="003133DC"/>
    <w:rsid w:val="0031390F"/>
    <w:rsid w:val="0031443C"/>
    <w:rsid w:val="00316193"/>
    <w:rsid w:val="00317463"/>
    <w:rsid w:val="0031769C"/>
    <w:rsid w:val="00320271"/>
    <w:rsid w:val="00320643"/>
    <w:rsid w:val="00320889"/>
    <w:rsid w:val="00320FDF"/>
    <w:rsid w:val="003219E0"/>
    <w:rsid w:val="00321CDB"/>
    <w:rsid w:val="00323CE4"/>
    <w:rsid w:val="003249C8"/>
    <w:rsid w:val="00324EB3"/>
    <w:rsid w:val="00324ECC"/>
    <w:rsid w:val="00325353"/>
    <w:rsid w:val="00327794"/>
    <w:rsid w:val="00327DE3"/>
    <w:rsid w:val="00330D7A"/>
    <w:rsid w:val="00331137"/>
    <w:rsid w:val="00332DF2"/>
    <w:rsid w:val="003332EA"/>
    <w:rsid w:val="003348B5"/>
    <w:rsid w:val="0033741B"/>
    <w:rsid w:val="003412BA"/>
    <w:rsid w:val="003413B2"/>
    <w:rsid w:val="0034189E"/>
    <w:rsid w:val="003420C8"/>
    <w:rsid w:val="00342B2F"/>
    <w:rsid w:val="00343489"/>
    <w:rsid w:val="003436A1"/>
    <w:rsid w:val="003442B5"/>
    <w:rsid w:val="0034501C"/>
    <w:rsid w:val="0034629B"/>
    <w:rsid w:val="003468C6"/>
    <w:rsid w:val="003509DB"/>
    <w:rsid w:val="00350DC6"/>
    <w:rsid w:val="00351F9B"/>
    <w:rsid w:val="003537A9"/>
    <w:rsid w:val="003538EF"/>
    <w:rsid w:val="00353D3E"/>
    <w:rsid w:val="00355353"/>
    <w:rsid w:val="00356050"/>
    <w:rsid w:val="003561E5"/>
    <w:rsid w:val="0035766B"/>
    <w:rsid w:val="00360C7A"/>
    <w:rsid w:val="00360FDD"/>
    <w:rsid w:val="00362CBB"/>
    <w:rsid w:val="0036369A"/>
    <w:rsid w:val="00363895"/>
    <w:rsid w:val="00365331"/>
    <w:rsid w:val="003654ED"/>
    <w:rsid w:val="00365A86"/>
    <w:rsid w:val="00365B47"/>
    <w:rsid w:val="00366E11"/>
    <w:rsid w:val="0037035E"/>
    <w:rsid w:val="00370DCF"/>
    <w:rsid w:val="00370E1A"/>
    <w:rsid w:val="00371E29"/>
    <w:rsid w:val="00371F0C"/>
    <w:rsid w:val="00374AF0"/>
    <w:rsid w:val="00374FA3"/>
    <w:rsid w:val="00375AE2"/>
    <w:rsid w:val="003765FB"/>
    <w:rsid w:val="00377E6D"/>
    <w:rsid w:val="00380B8B"/>
    <w:rsid w:val="00382AE2"/>
    <w:rsid w:val="00383368"/>
    <w:rsid w:val="0038369E"/>
    <w:rsid w:val="003839C1"/>
    <w:rsid w:val="00383F9A"/>
    <w:rsid w:val="003845CA"/>
    <w:rsid w:val="00384686"/>
    <w:rsid w:val="003849C4"/>
    <w:rsid w:val="00384F5C"/>
    <w:rsid w:val="00386CE7"/>
    <w:rsid w:val="00386EB0"/>
    <w:rsid w:val="00390234"/>
    <w:rsid w:val="00390468"/>
    <w:rsid w:val="003917A0"/>
    <w:rsid w:val="003924D7"/>
    <w:rsid w:val="00392F69"/>
    <w:rsid w:val="00393122"/>
    <w:rsid w:val="003933FB"/>
    <w:rsid w:val="0039392D"/>
    <w:rsid w:val="00395117"/>
    <w:rsid w:val="00395F40"/>
    <w:rsid w:val="00395F7F"/>
    <w:rsid w:val="003969AD"/>
    <w:rsid w:val="00396F6D"/>
    <w:rsid w:val="003971B0"/>
    <w:rsid w:val="003A0C75"/>
    <w:rsid w:val="003A354F"/>
    <w:rsid w:val="003A6DF1"/>
    <w:rsid w:val="003B0BD3"/>
    <w:rsid w:val="003B0DC7"/>
    <w:rsid w:val="003B154A"/>
    <w:rsid w:val="003B1728"/>
    <w:rsid w:val="003B1AEE"/>
    <w:rsid w:val="003B1B8F"/>
    <w:rsid w:val="003B1DC8"/>
    <w:rsid w:val="003B2407"/>
    <w:rsid w:val="003B2E4F"/>
    <w:rsid w:val="003B2EF8"/>
    <w:rsid w:val="003B3DCB"/>
    <w:rsid w:val="003B6029"/>
    <w:rsid w:val="003B62DF"/>
    <w:rsid w:val="003B6B95"/>
    <w:rsid w:val="003B762B"/>
    <w:rsid w:val="003C0558"/>
    <w:rsid w:val="003C0A90"/>
    <w:rsid w:val="003C1E39"/>
    <w:rsid w:val="003C2817"/>
    <w:rsid w:val="003C2FD0"/>
    <w:rsid w:val="003C42A3"/>
    <w:rsid w:val="003C53C4"/>
    <w:rsid w:val="003C71E0"/>
    <w:rsid w:val="003C74FD"/>
    <w:rsid w:val="003C7CAB"/>
    <w:rsid w:val="003D0F0C"/>
    <w:rsid w:val="003D4118"/>
    <w:rsid w:val="003D531A"/>
    <w:rsid w:val="003D54FE"/>
    <w:rsid w:val="003D564B"/>
    <w:rsid w:val="003D7AC9"/>
    <w:rsid w:val="003E104C"/>
    <w:rsid w:val="003E1357"/>
    <w:rsid w:val="003E18E2"/>
    <w:rsid w:val="003E1D80"/>
    <w:rsid w:val="003E2085"/>
    <w:rsid w:val="003E3B85"/>
    <w:rsid w:val="003E53C2"/>
    <w:rsid w:val="003E629E"/>
    <w:rsid w:val="003E68A5"/>
    <w:rsid w:val="003E723D"/>
    <w:rsid w:val="003E7694"/>
    <w:rsid w:val="003F0E2C"/>
    <w:rsid w:val="003F3FB6"/>
    <w:rsid w:val="003F4005"/>
    <w:rsid w:val="003F47FD"/>
    <w:rsid w:val="003F4CEC"/>
    <w:rsid w:val="003F51D5"/>
    <w:rsid w:val="003F544E"/>
    <w:rsid w:val="003F7D26"/>
    <w:rsid w:val="00400498"/>
    <w:rsid w:val="00400939"/>
    <w:rsid w:val="00402774"/>
    <w:rsid w:val="004038D4"/>
    <w:rsid w:val="00403D65"/>
    <w:rsid w:val="00404D5F"/>
    <w:rsid w:val="004051C8"/>
    <w:rsid w:val="00405967"/>
    <w:rsid w:val="00406FDB"/>
    <w:rsid w:val="0040709C"/>
    <w:rsid w:val="00410FB6"/>
    <w:rsid w:val="004122E7"/>
    <w:rsid w:val="00413795"/>
    <w:rsid w:val="004144A4"/>
    <w:rsid w:val="004153B4"/>
    <w:rsid w:val="004155DE"/>
    <w:rsid w:val="00415A84"/>
    <w:rsid w:val="004160FF"/>
    <w:rsid w:val="004173EE"/>
    <w:rsid w:val="00417688"/>
    <w:rsid w:val="00420DD7"/>
    <w:rsid w:val="0042149B"/>
    <w:rsid w:val="004220E1"/>
    <w:rsid w:val="00422688"/>
    <w:rsid w:val="00422B24"/>
    <w:rsid w:val="0042441F"/>
    <w:rsid w:val="0042550A"/>
    <w:rsid w:val="00425C66"/>
    <w:rsid w:val="00426438"/>
    <w:rsid w:val="00426C8E"/>
    <w:rsid w:val="00426E95"/>
    <w:rsid w:val="00426F42"/>
    <w:rsid w:val="00427D7D"/>
    <w:rsid w:val="004322E7"/>
    <w:rsid w:val="00433FD9"/>
    <w:rsid w:val="00434930"/>
    <w:rsid w:val="004356C3"/>
    <w:rsid w:val="00435BE5"/>
    <w:rsid w:val="00435FCB"/>
    <w:rsid w:val="00440289"/>
    <w:rsid w:val="00440A39"/>
    <w:rsid w:val="00440A7B"/>
    <w:rsid w:val="00441997"/>
    <w:rsid w:val="00441C50"/>
    <w:rsid w:val="00442467"/>
    <w:rsid w:val="00443B8E"/>
    <w:rsid w:val="00443EF9"/>
    <w:rsid w:val="00444451"/>
    <w:rsid w:val="00444F6D"/>
    <w:rsid w:val="00452DB0"/>
    <w:rsid w:val="00452DDB"/>
    <w:rsid w:val="00453BD1"/>
    <w:rsid w:val="00453CC0"/>
    <w:rsid w:val="00453FA6"/>
    <w:rsid w:val="004547C1"/>
    <w:rsid w:val="00454E95"/>
    <w:rsid w:val="004570D8"/>
    <w:rsid w:val="00457591"/>
    <w:rsid w:val="00460543"/>
    <w:rsid w:val="00460D56"/>
    <w:rsid w:val="00461300"/>
    <w:rsid w:val="00461773"/>
    <w:rsid w:val="00462260"/>
    <w:rsid w:val="00462C54"/>
    <w:rsid w:val="00465F99"/>
    <w:rsid w:val="004665D1"/>
    <w:rsid w:val="00466C35"/>
    <w:rsid w:val="00467CC3"/>
    <w:rsid w:val="004723B2"/>
    <w:rsid w:val="00472576"/>
    <w:rsid w:val="00473E11"/>
    <w:rsid w:val="004744DC"/>
    <w:rsid w:val="00474550"/>
    <w:rsid w:val="00475825"/>
    <w:rsid w:val="00476CBB"/>
    <w:rsid w:val="00476EC7"/>
    <w:rsid w:val="00477DB9"/>
    <w:rsid w:val="00481D6F"/>
    <w:rsid w:val="00481E81"/>
    <w:rsid w:val="00481FB3"/>
    <w:rsid w:val="0048405E"/>
    <w:rsid w:val="00484EC2"/>
    <w:rsid w:val="00486430"/>
    <w:rsid w:val="004867C2"/>
    <w:rsid w:val="00486E71"/>
    <w:rsid w:val="00487C27"/>
    <w:rsid w:val="00490944"/>
    <w:rsid w:val="00490AFB"/>
    <w:rsid w:val="00491177"/>
    <w:rsid w:val="00491E3C"/>
    <w:rsid w:val="00492DC3"/>
    <w:rsid w:val="00493489"/>
    <w:rsid w:val="004935BA"/>
    <w:rsid w:val="00493997"/>
    <w:rsid w:val="004948E1"/>
    <w:rsid w:val="004951AE"/>
    <w:rsid w:val="004954CE"/>
    <w:rsid w:val="00496808"/>
    <w:rsid w:val="0049688A"/>
    <w:rsid w:val="004A095A"/>
    <w:rsid w:val="004A0B66"/>
    <w:rsid w:val="004A3054"/>
    <w:rsid w:val="004A33AE"/>
    <w:rsid w:val="004A4253"/>
    <w:rsid w:val="004A43C7"/>
    <w:rsid w:val="004A47EE"/>
    <w:rsid w:val="004A4D23"/>
    <w:rsid w:val="004A4F27"/>
    <w:rsid w:val="004A54B1"/>
    <w:rsid w:val="004A5B83"/>
    <w:rsid w:val="004A6CCE"/>
    <w:rsid w:val="004A7464"/>
    <w:rsid w:val="004B0F82"/>
    <w:rsid w:val="004B21A7"/>
    <w:rsid w:val="004B3FCD"/>
    <w:rsid w:val="004B427C"/>
    <w:rsid w:val="004B5354"/>
    <w:rsid w:val="004B5364"/>
    <w:rsid w:val="004B6119"/>
    <w:rsid w:val="004B66A4"/>
    <w:rsid w:val="004B6BCD"/>
    <w:rsid w:val="004B7B03"/>
    <w:rsid w:val="004C2E49"/>
    <w:rsid w:val="004C36E5"/>
    <w:rsid w:val="004C43D5"/>
    <w:rsid w:val="004C54FD"/>
    <w:rsid w:val="004C57E9"/>
    <w:rsid w:val="004C6471"/>
    <w:rsid w:val="004D04B4"/>
    <w:rsid w:val="004D1370"/>
    <w:rsid w:val="004D5830"/>
    <w:rsid w:val="004D63BF"/>
    <w:rsid w:val="004D6999"/>
    <w:rsid w:val="004D788F"/>
    <w:rsid w:val="004D7D07"/>
    <w:rsid w:val="004D7EF1"/>
    <w:rsid w:val="004E0161"/>
    <w:rsid w:val="004E1862"/>
    <w:rsid w:val="004E1E8F"/>
    <w:rsid w:val="004E2729"/>
    <w:rsid w:val="004E27BF"/>
    <w:rsid w:val="004E32B8"/>
    <w:rsid w:val="004E462E"/>
    <w:rsid w:val="004E4F7D"/>
    <w:rsid w:val="004E6AA4"/>
    <w:rsid w:val="004E6C05"/>
    <w:rsid w:val="004E7598"/>
    <w:rsid w:val="004F131B"/>
    <w:rsid w:val="004F19C8"/>
    <w:rsid w:val="004F1DAA"/>
    <w:rsid w:val="004F309F"/>
    <w:rsid w:val="004F513C"/>
    <w:rsid w:val="004F59F0"/>
    <w:rsid w:val="004F626A"/>
    <w:rsid w:val="004F62C5"/>
    <w:rsid w:val="004F657C"/>
    <w:rsid w:val="0050058F"/>
    <w:rsid w:val="0050078A"/>
    <w:rsid w:val="00500B30"/>
    <w:rsid w:val="00501071"/>
    <w:rsid w:val="00501A4F"/>
    <w:rsid w:val="00501B20"/>
    <w:rsid w:val="00502385"/>
    <w:rsid w:val="00502ACE"/>
    <w:rsid w:val="00503838"/>
    <w:rsid w:val="005039E9"/>
    <w:rsid w:val="0050521F"/>
    <w:rsid w:val="005057E8"/>
    <w:rsid w:val="005063A5"/>
    <w:rsid w:val="00506C53"/>
    <w:rsid w:val="00507EDC"/>
    <w:rsid w:val="00510F71"/>
    <w:rsid w:val="00512B6E"/>
    <w:rsid w:val="0051328A"/>
    <w:rsid w:val="00513440"/>
    <w:rsid w:val="00513517"/>
    <w:rsid w:val="0051415D"/>
    <w:rsid w:val="0051641D"/>
    <w:rsid w:val="0052229C"/>
    <w:rsid w:val="00523233"/>
    <w:rsid w:val="0052333D"/>
    <w:rsid w:val="005237E3"/>
    <w:rsid w:val="005239DE"/>
    <w:rsid w:val="00523B5F"/>
    <w:rsid w:val="00524F70"/>
    <w:rsid w:val="005276A4"/>
    <w:rsid w:val="00531846"/>
    <w:rsid w:val="00531EA3"/>
    <w:rsid w:val="0053251E"/>
    <w:rsid w:val="005335F3"/>
    <w:rsid w:val="00534EE7"/>
    <w:rsid w:val="005361F3"/>
    <w:rsid w:val="00536BF8"/>
    <w:rsid w:val="0054112C"/>
    <w:rsid w:val="005416E5"/>
    <w:rsid w:val="0054252A"/>
    <w:rsid w:val="005427A7"/>
    <w:rsid w:val="00542952"/>
    <w:rsid w:val="005433C5"/>
    <w:rsid w:val="005437F9"/>
    <w:rsid w:val="005444CE"/>
    <w:rsid w:val="005448F6"/>
    <w:rsid w:val="0054531D"/>
    <w:rsid w:val="005461A8"/>
    <w:rsid w:val="005464A3"/>
    <w:rsid w:val="0055301C"/>
    <w:rsid w:val="00553024"/>
    <w:rsid w:val="0055345C"/>
    <w:rsid w:val="005536B7"/>
    <w:rsid w:val="005539B7"/>
    <w:rsid w:val="00553C30"/>
    <w:rsid w:val="00553EA4"/>
    <w:rsid w:val="00555431"/>
    <w:rsid w:val="005600EF"/>
    <w:rsid w:val="00560F7A"/>
    <w:rsid w:val="00561C05"/>
    <w:rsid w:val="00562642"/>
    <w:rsid w:val="005639CA"/>
    <w:rsid w:val="005655FA"/>
    <w:rsid w:val="00565CF3"/>
    <w:rsid w:val="005700E7"/>
    <w:rsid w:val="00570336"/>
    <w:rsid w:val="00571A00"/>
    <w:rsid w:val="00572060"/>
    <w:rsid w:val="0057237C"/>
    <w:rsid w:val="00572D4C"/>
    <w:rsid w:val="0057335F"/>
    <w:rsid w:val="00574BEE"/>
    <w:rsid w:val="00575BBE"/>
    <w:rsid w:val="00577047"/>
    <w:rsid w:val="00577E89"/>
    <w:rsid w:val="00580F99"/>
    <w:rsid w:val="0058112E"/>
    <w:rsid w:val="00582142"/>
    <w:rsid w:val="00586836"/>
    <w:rsid w:val="005870F7"/>
    <w:rsid w:val="005879AC"/>
    <w:rsid w:val="0058BE25"/>
    <w:rsid w:val="0059023A"/>
    <w:rsid w:val="00590BB5"/>
    <w:rsid w:val="00595B83"/>
    <w:rsid w:val="0059713B"/>
    <w:rsid w:val="005A0D06"/>
    <w:rsid w:val="005A1366"/>
    <w:rsid w:val="005A22B3"/>
    <w:rsid w:val="005A3A43"/>
    <w:rsid w:val="005A3A6C"/>
    <w:rsid w:val="005A46FB"/>
    <w:rsid w:val="005A56B1"/>
    <w:rsid w:val="005A65BC"/>
    <w:rsid w:val="005A708C"/>
    <w:rsid w:val="005A757A"/>
    <w:rsid w:val="005A77EA"/>
    <w:rsid w:val="005A78C4"/>
    <w:rsid w:val="005A7980"/>
    <w:rsid w:val="005B1C27"/>
    <w:rsid w:val="005B1EE0"/>
    <w:rsid w:val="005B2ADF"/>
    <w:rsid w:val="005B3128"/>
    <w:rsid w:val="005B3C63"/>
    <w:rsid w:val="005B3E59"/>
    <w:rsid w:val="005B3FDD"/>
    <w:rsid w:val="005B41F2"/>
    <w:rsid w:val="005B49D3"/>
    <w:rsid w:val="005B52A3"/>
    <w:rsid w:val="005B6506"/>
    <w:rsid w:val="005B6584"/>
    <w:rsid w:val="005B6880"/>
    <w:rsid w:val="005B6908"/>
    <w:rsid w:val="005C3462"/>
    <w:rsid w:val="005C3926"/>
    <w:rsid w:val="005C427E"/>
    <w:rsid w:val="005C4933"/>
    <w:rsid w:val="005C49A9"/>
    <w:rsid w:val="005C5859"/>
    <w:rsid w:val="005C5CC9"/>
    <w:rsid w:val="005C7284"/>
    <w:rsid w:val="005C7977"/>
    <w:rsid w:val="005C7CDD"/>
    <w:rsid w:val="005C7ECF"/>
    <w:rsid w:val="005D056C"/>
    <w:rsid w:val="005D0919"/>
    <w:rsid w:val="005D1385"/>
    <w:rsid w:val="005D1571"/>
    <w:rsid w:val="005D192E"/>
    <w:rsid w:val="005D3DF4"/>
    <w:rsid w:val="005D42B2"/>
    <w:rsid w:val="005D55F4"/>
    <w:rsid w:val="005D6914"/>
    <w:rsid w:val="005E0438"/>
    <w:rsid w:val="005E0629"/>
    <w:rsid w:val="005E0F14"/>
    <w:rsid w:val="005E23E8"/>
    <w:rsid w:val="005E2439"/>
    <w:rsid w:val="005E2B55"/>
    <w:rsid w:val="005E2D59"/>
    <w:rsid w:val="005E30A2"/>
    <w:rsid w:val="005E3B4F"/>
    <w:rsid w:val="005E3CE9"/>
    <w:rsid w:val="005E3EA6"/>
    <w:rsid w:val="005E42A5"/>
    <w:rsid w:val="005E43D7"/>
    <w:rsid w:val="005E6638"/>
    <w:rsid w:val="005E7EB1"/>
    <w:rsid w:val="005F24CD"/>
    <w:rsid w:val="005F2AB4"/>
    <w:rsid w:val="005F2D00"/>
    <w:rsid w:val="005F2E69"/>
    <w:rsid w:val="005F47F5"/>
    <w:rsid w:val="005F5B99"/>
    <w:rsid w:val="005F69AD"/>
    <w:rsid w:val="005F6EF6"/>
    <w:rsid w:val="005F723C"/>
    <w:rsid w:val="0060006B"/>
    <w:rsid w:val="0060238C"/>
    <w:rsid w:val="00603617"/>
    <w:rsid w:val="0060644D"/>
    <w:rsid w:val="00606A7A"/>
    <w:rsid w:val="00607970"/>
    <w:rsid w:val="00613EDF"/>
    <w:rsid w:val="00614002"/>
    <w:rsid w:val="0061446F"/>
    <w:rsid w:val="006144D6"/>
    <w:rsid w:val="00614FF6"/>
    <w:rsid w:val="006150BB"/>
    <w:rsid w:val="00615187"/>
    <w:rsid w:val="006156DE"/>
    <w:rsid w:val="00616BD6"/>
    <w:rsid w:val="00616F62"/>
    <w:rsid w:val="006201C5"/>
    <w:rsid w:val="00620DF7"/>
    <w:rsid w:val="00622E58"/>
    <w:rsid w:val="00622F94"/>
    <w:rsid w:val="00623789"/>
    <w:rsid w:val="00623D66"/>
    <w:rsid w:val="006247D1"/>
    <w:rsid w:val="00625A67"/>
    <w:rsid w:val="00625E04"/>
    <w:rsid w:val="00625E50"/>
    <w:rsid w:val="00626C27"/>
    <w:rsid w:val="00626EBE"/>
    <w:rsid w:val="00627BED"/>
    <w:rsid w:val="006316A7"/>
    <w:rsid w:val="00631BC7"/>
    <w:rsid w:val="006336C6"/>
    <w:rsid w:val="00634D3F"/>
    <w:rsid w:val="00640148"/>
    <w:rsid w:val="006418D1"/>
    <w:rsid w:val="006445D3"/>
    <w:rsid w:val="0064540C"/>
    <w:rsid w:val="00645B94"/>
    <w:rsid w:val="0064606C"/>
    <w:rsid w:val="00646559"/>
    <w:rsid w:val="00647995"/>
    <w:rsid w:val="006508F4"/>
    <w:rsid w:val="00650C09"/>
    <w:rsid w:val="006524CC"/>
    <w:rsid w:val="00652F35"/>
    <w:rsid w:val="00656259"/>
    <w:rsid w:val="00656A72"/>
    <w:rsid w:val="00657160"/>
    <w:rsid w:val="00657EED"/>
    <w:rsid w:val="00660396"/>
    <w:rsid w:val="006604A5"/>
    <w:rsid w:val="00660B59"/>
    <w:rsid w:val="00661325"/>
    <w:rsid w:val="00664009"/>
    <w:rsid w:val="00665953"/>
    <w:rsid w:val="00665C7E"/>
    <w:rsid w:val="006663C9"/>
    <w:rsid w:val="006677FB"/>
    <w:rsid w:val="0067418C"/>
    <w:rsid w:val="00674426"/>
    <w:rsid w:val="00674815"/>
    <w:rsid w:val="006753B0"/>
    <w:rsid w:val="006757C8"/>
    <w:rsid w:val="006762A3"/>
    <w:rsid w:val="00676C6D"/>
    <w:rsid w:val="006775CB"/>
    <w:rsid w:val="00680813"/>
    <w:rsid w:val="00681A73"/>
    <w:rsid w:val="00682763"/>
    <w:rsid w:val="006832A5"/>
    <w:rsid w:val="00687195"/>
    <w:rsid w:val="00690B65"/>
    <w:rsid w:val="00691B69"/>
    <w:rsid w:val="00692BD8"/>
    <w:rsid w:val="00693505"/>
    <w:rsid w:val="00693747"/>
    <w:rsid w:val="00694844"/>
    <w:rsid w:val="006965BD"/>
    <w:rsid w:val="00696C8D"/>
    <w:rsid w:val="00697A4E"/>
    <w:rsid w:val="006A019C"/>
    <w:rsid w:val="006A045F"/>
    <w:rsid w:val="006A08C0"/>
    <w:rsid w:val="006A0941"/>
    <w:rsid w:val="006A119F"/>
    <w:rsid w:val="006A1391"/>
    <w:rsid w:val="006A1D49"/>
    <w:rsid w:val="006A1EEE"/>
    <w:rsid w:val="006A2273"/>
    <w:rsid w:val="006A3583"/>
    <w:rsid w:val="006A36EF"/>
    <w:rsid w:val="006A3E54"/>
    <w:rsid w:val="006A5D61"/>
    <w:rsid w:val="006A5FC8"/>
    <w:rsid w:val="006A6365"/>
    <w:rsid w:val="006A6622"/>
    <w:rsid w:val="006A77E7"/>
    <w:rsid w:val="006A7B93"/>
    <w:rsid w:val="006B0F27"/>
    <w:rsid w:val="006B1740"/>
    <w:rsid w:val="006B1CFC"/>
    <w:rsid w:val="006B29A0"/>
    <w:rsid w:val="006B2CC0"/>
    <w:rsid w:val="006B2F98"/>
    <w:rsid w:val="006B444C"/>
    <w:rsid w:val="006B4EEC"/>
    <w:rsid w:val="006B6997"/>
    <w:rsid w:val="006B6E18"/>
    <w:rsid w:val="006B7C08"/>
    <w:rsid w:val="006C0008"/>
    <w:rsid w:val="006C10AA"/>
    <w:rsid w:val="006C1158"/>
    <w:rsid w:val="006C1256"/>
    <w:rsid w:val="006C38B9"/>
    <w:rsid w:val="006C3C7B"/>
    <w:rsid w:val="006C4873"/>
    <w:rsid w:val="006C4CBD"/>
    <w:rsid w:val="006C5F9E"/>
    <w:rsid w:val="006C7657"/>
    <w:rsid w:val="006C76C7"/>
    <w:rsid w:val="006C79B6"/>
    <w:rsid w:val="006D015D"/>
    <w:rsid w:val="006D0321"/>
    <w:rsid w:val="006D0657"/>
    <w:rsid w:val="006D20E9"/>
    <w:rsid w:val="006D37A7"/>
    <w:rsid w:val="006D3E6E"/>
    <w:rsid w:val="006D40B4"/>
    <w:rsid w:val="006D4709"/>
    <w:rsid w:val="006D4C89"/>
    <w:rsid w:val="006D65EB"/>
    <w:rsid w:val="006D667E"/>
    <w:rsid w:val="006E34E3"/>
    <w:rsid w:val="006E393F"/>
    <w:rsid w:val="006E4BC2"/>
    <w:rsid w:val="006E4D2F"/>
    <w:rsid w:val="006E6428"/>
    <w:rsid w:val="006E6DA5"/>
    <w:rsid w:val="006E7B57"/>
    <w:rsid w:val="006F0972"/>
    <w:rsid w:val="006F0C19"/>
    <w:rsid w:val="006F123D"/>
    <w:rsid w:val="006F1E2A"/>
    <w:rsid w:val="006F4585"/>
    <w:rsid w:val="006F4720"/>
    <w:rsid w:val="006F5261"/>
    <w:rsid w:val="006F5FD6"/>
    <w:rsid w:val="006F67D0"/>
    <w:rsid w:val="006F7C53"/>
    <w:rsid w:val="006F7E2F"/>
    <w:rsid w:val="00701313"/>
    <w:rsid w:val="0070242B"/>
    <w:rsid w:val="00702A3E"/>
    <w:rsid w:val="0070302B"/>
    <w:rsid w:val="007036A4"/>
    <w:rsid w:val="00703783"/>
    <w:rsid w:val="00703DCF"/>
    <w:rsid w:val="00705789"/>
    <w:rsid w:val="007057D0"/>
    <w:rsid w:val="00705A69"/>
    <w:rsid w:val="00705EBC"/>
    <w:rsid w:val="00706CF2"/>
    <w:rsid w:val="007079F0"/>
    <w:rsid w:val="00710BBC"/>
    <w:rsid w:val="007131B9"/>
    <w:rsid w:val="007133E7"/>
    <w:rsid w:val="0071367B"/>
    <w:rsid w:val="00713935"/>
    <w:rsid w:val="0071476E"/>
    <w:rsid w:val="007154B9"/>
    <w:rsid w:val="0071553E"/>
    <w:rsid w:val="00716316"/>
    <w:rsid w:val="00716A56"/>
    <w:rsid w:val="00720758"/>
    <w:rsid w:val="0072234F"/>
    <w:rsid w:val="007224F7"/>
    <w:rsid w:val="00722DB3"/>
    <w:rsid w:val="00723D0D"/>
    <w:rsid w:val="007253B6"/>
    <w:rsid w:val="00727CE7"/>
    <w:rsid w:val="007300C2"/>
    <w:rsid w:val="00730398"/>
    <w:rsid w:val="0073164C"/>
    <w:rsid w:val="00732167"/>
    <w:rsid w:val="00733C20"/>
    <w:rsid w:val="00734568"/>
    <w:rsid w:val="007356DB"/>
    <w:rsid w:val="007374F9"/>
    <w:rsid w:val="00737C38"/>
    <w:rsid w:val="00740A10"/>
    <w:rsid w:val="007420CD"/>
    <w:rsid w:val="00742ABA"/>
    <w:rsid w:val="00742B78"/>
    <w:rsid w:val="00742CA9"/>
    <w:rsid w:val="00742E79"/>
    <w:rsid w:val="007438C2"/>
    <w:rsid w:val="007439CB"/>
    <w:rsid w:val="0074525E"/>
    <w:rsid w:val="007460AC"/>
    <w:rsid w:val="00746220"/>
    <w:rsid w:val="00747DCC"/>
    <w:rsid w:val="00750685"/>
    <w:rsid w:val="00750D97"/>
    <w:rsid w:val="0075116B"/>
    <w:rsid w:val="00751C09"/>
    <w:rsid w:val="00753031"/>
    <w:rsid w:val="00753877"/>
    <w:rsid w:val="00753BA0"/>
    <w:rsid w:val="00754848"/>
    <w:rsid w:val="00755630"/>
    <w:rsid w:val="0075609D"/>
    <w:rsid w:val="00760449"/>
    <w:rsid w:val="00760E55"/>
    <w:rsid w:val="0076140F"/>
    <w:rsid w:val="0076324D"/>
    <w:rsid w:val="00764277"/>
    <w:rsid w:val="007648D4"/>
    <w:rsid w:val="007650ED"/>
    <w:rsid w:val="0076735D"/>
    <w:rsid w:val="007678CD"/>
    <w:rsid w:val="00770F4E"/>
    <w:rsid w:val="00771822"/>
    <w:rsid w:val="00771A49"/>
    <w:rsid w:val="0077276B"/>
    <w:rsid w:val="00774299"/>
    <w:rsid w:val="00774760"/>
    <w:rsid w:val="00775546"/>
    <w:rsid w:val="007759AF"/>
    <w:rsid w:val="00775AF6"/>
    <w:rsid w:val="00776235"/>
    <w:rsid w:val="00776546"/>
    <w:rsid w:val="00780E71"/>
    <w:rsid w:val="007826F1"/>
    <w:rsid w:val="007832E3"/>
    <w:rsid w:val="007835A4"/>
    <w:rsid w:val="007838B8"/>
    <w:rsid w:val="00784A5A"/>
    <w:rsid w:val="00784F21"/>
    <w:rsid w:val="007855D2"/>
    <w:rsid w:val="00787DA3"/>
    <w:rsid w:val="0079049F"/>
    <w:rsid w:val="00791BFA"/>
    <w:rsid w:val="00791C6A"/>
    <w:rsid w:val="007922F9"/>
    <w:rsid w:val="00792B61"/>
    <w:rsid w:val="00795641"/>
    <w:rsid w:val="00795E6E"/>
    <w:rsid w:val="007A0E6F"/>
    <w:rsid w:val="007A1718"/>
    <w:rsid w:val="007A1852"/>
    <w:rsid w:val="007A2454"/>
    <w:rsid w:val="007A4ED4"/>
    <w:rsid w:val="007A5A09"/>
    <w:rsid w:val="007A5B0F"/>
    <w:rsid w:val="007A643A"/>
    <w:rsid w:val="007A67F6"/>
    <w:rsid w:val="007A6CEF"/>
    <w:rsid w:val="007A74B0"/>
    <w:rsid w:val="007B066F"/>
    <w:rsid w:val="007B2601"/>
    <w:rsid w:val="007B2666"/>
    <w:rsid w:val="007B3F7A"/>
    <w:rsid w:val="007B5456"/>
    <w:rsid w:val="007B5D8A"/>
    <w:rsid w:val="007B640F"/>
    <w:rsid w:val="007B6421"/>
    <w:rsid w:val="007B6802"/>
    <w:rsid w:val="007B6A46"/>
    <w:rsid w:val="007B7E78"/>
    <w:rsid w:val="007C00D0"/>
    <w:rsid w:val="007C0376"/>
    <w:rsid w:val="007C049C"/>
    <w:rsid w:val="007C0BF4"/>
    <w:rsid w:val="007C0CFE"/>
    <w:rsid w:val="007C3E95"/>
    <w:rsid w:val="007C659F"/>
    <w:rsid w:val="007C74CE"/>
    <w:rsid w:val="007C79F8"/>
    <w:rsid w:val="007D0510"/>
    <w:rsid w:val="007D1CF2"/>
    <w:rsid w:val="007D1FE9"/>
    <w:rsid w:val="007D25AC"/>
    <w:rsid w:val="007D29DC"/>
    <w:rsid w:val="007D346B"/>
    <w:rsid w:val="007D54C7"/>
    <w:rsid w:val="007D61F3"/>
    <w:rsid w:val="007E0893"/>
    <w:rsid w:val="007E0BD1"/>
    <w:rsid w:val="007E0FA0"/>
    <w:rsid w:val="007E216D"/>
    <w:rsid w:val="007E22FD"/>
    <w:rsid w:val="007E45D6"/>
    <w:rsid w:val="007E4AF8"/>
    <w:rsid w:val="007E55BF"/>
    <w:rsid w:val="007E5B6E"/>
    <w:rsid w:val="007E623C"/>
    <w:rsid w:val="007E7C1D"/>
    <w:rsid w:val="007E7E39"/>
    <w:rsid w:val="007E9578"/>
    <w:rsid w:val="007F1A07"/>
    <w:rsid w:val="007F2158"/>
    <w:rsid w:val="007F2252"/>
    <w:rsid w:val="007F2E17"/>
    <w:rsid w:val="007F333F"/>
    <w:rsid w:val="007F40B6"/>
    <w:rsid w:val="007F4C64"/>
    <w:rsid w:val="007F5635"/>
    <w:rsid w:val="007F696B"/>
    <w:rsid w:val="007F6EE6"/>
    <w:rsid w:val="00800D9F"/>
    <w:rsid w:val="008018C2"/>
    <w:rsid w:val="00803C61"/>
    <w:rsid w:val="00805BF6"/>
    <w:rsid w:val="00805F3D"/>
    <w:rsid w:val="0080691C"/>
    <w:rsid w:val="00806D98"/>
    <w:rsid w:val="00806DE8"/>
    <w:rsid w:val="00806F89"/>
    <w:rsid w:val="00807F9F"/>
    <w:rsid w:val="0081113E"/>
    <w:rsid w:val="00815DC2"/>
    <w:rsid w:val="00816EB6"/>
    <w:rsid w:val="008200E3"/>
    <w:rsid w:val="00820A4A"/>
    <w:rsid w:val="00821311"/>
    <w:rsid w:val="00822316"/>
    <w:rsid w:val="00824A28"/>
    <w:rsid w:val="00824BE9"/>
    <w:rsid w:val="0082511B"/>
    <w:rsid w:val="00826F1F"/>
    <w:rsid w:val="0082789E"/>
    <w:rsid w:val="008301E1"/>
    <w:rsid w:val="008309FC"/>
    <w:rsid w:val="00831763"/>
    <w:rsid w:val="00833C71"/>
    <w:rsid w:val="008347A8"/>
    <w:rsid w:val="0083511D"/>
    <w:rsid w:val="00835DED"/>
    <w:rsid w:val="00837E89"/>
    <w:rsid w:val="00840860"/>
    <w:rsid w:val="008420F7"/>
    <w:rsid w:val="008422C5"/>
    <w:rsid w:val="00842639"/>
    <w:rsid w:val="00845CBD"/>
    <w:rsid w:val="008470C8"/>
    <w:rsid w:val="008470E5"/>
    <w:rsid w:val="00847988"/>
    <w:rsid w:val="00850AB9"/>
    <w:rsid w:val="00850CE7"/>
    <w:rsid w:val="00850DCB"/>
    <w:rsid w:val="00851074"/>
    <w:rsid w:val="008510CB"/>
    <w:rsid w:val="00851AB8"/>
    <w:rsid w:val="0085222C"/>
    <w:rsid w:val="008539CF"/>
    <w:rsid w:val="00853A96"/>
    <w:rsid w:val="008542EF"/>
    <w:rsid w:val="0085461D"/>
    <w:rsid w:val="00854E49"/>
    <w:rsid w:val="00855454"/>
    <w:rsid w:val="00855DEB"/>
    <w:rsid w:val="00856960"/>
    <w:rsid w:val="00856E62"/>
    <w:rsid w:val="008577BE"/>
    <w:rsid w:val="0086043B"/>
    <w:rsid w:val="008607BE"/>
    <w:rsid w:val="00861C06"/>
    <w:rsid w:val="00863E11"/>
    <w:rsid w:val="00864B09"/>
    <w:rsid w:val="00864E15"/>
    <w:rsid w:val="00865532"/>
    <w:rsid w:val="00866807"/>
    <w:rsid w:val="00866C6D"/>
    <w:rsid w:val="00866D72"/>
    <w:rsid w:val="00866EEB"/>
    <w:rsid w:val="008676F8"/>
    <w:rsid w:val="008677B5"/>
    <w:rsid w:val="00870D0E"/>
    <w:rsid w:val="00871618"/>
    <w:rsid w:val="008716F1"/>
    <w:rsid w:val="00872344"/>
    <w:rsid w:val="008726F4"/>
    <w:rsid w:val="008750FF"/>
    <w:rsid w:val="00875EBE"/>
    <w:rsid w:val="0087638D"/>
    <w:rsid w:val="00877598"/>
    <w:rsid w:val="00877C23"/>
    <w:rsid w:val="008809F1"/>
    <w:rsid w:val="00880CDE"/>
    <w:rsid w:val="00882054"/>
    <w:rsid w:val="008829B0"/>
    <w:rsid w:val="00882E5B"/>
    <w:rsid w:val="00882FA2"/>
    <w:rsid w:val="0088379A"/>
    <w:rsid w:val="00884F40"/>
    <w:rsid w:val="00885698"/>
    <w:rsid w:val="00885C94"/>
    <w:rsid w:val="00886ACC"/>
    <w:rsid w:val="00886D5F"/>
    <w:rsid w:val="00891F85"/>
    <w:rsid w:val="00892663"/>
    <w:rsid w:val="0089288E"/>
    <w:rsid w:val="0089325C"/>
    <w:rsid w:val="0089348F"/>
    <w:rsid w:val="00895A61"/>
    <w:rsid w:val="00896CA2"/>
    <w:rsid w:val="00896DCF"/>
    <w:rsid w:val="008A0B36"/>
    <w:rsid w:val="008A294E"/>
    <w:rsid w:val="008A3156"/>
    <w:rsid w:val="008A3863"/>
    <w:rsid w:val="008A44E7"/>
    <w:rsid w:val="008A5C14"/>
    <w:rsid w:val="008A7471"/>
    <w:rsid w:val="008A7E8B"/>
    <w:rsid w:val="008B03CB"/>
    <w:rsid w:val="008B0AA8"/>
    <w:rsid w:val="008B4B7D"/>
    <w:rsid w:val="008B5555"/>
    <w:rsid w:val="008B5594"/>
    <w:rsid w:val="008B5B38"/>
    <w:rsid w:val="008B6852"/>
    <w:rsid w:val="008B6CAA"/>
    <w:rsid w:val="008B6FFE"/>
    <w:rsid w:val="008C0C14"/>
    <w:rsid w:val="008C2404"/>
    <w:rsid w:val="008C2648"/>
    <w:rsid w:val="008C3626"/>
    <w:rsid w:val="008C363F"/>
    <w:rsid w:val="008C3BC0"/>
    <w:rsid w:val="008C409F"/>
    <w:rsid w:val="008C6CC4"/>
    <w:rsid w:val="008C79BE"/>
    <w:rsid w:val="008D114F"/>
    <w:rsid w:val="008D12AF"/>
    <w:rsid w:val="008D15C0"/>
    <w:rsid w:val="008D1B20"/>
    <w:rsid w:val="008D2291"/>
    <w:rsid w:val="008D230F"/>
    <w:rsid w:val="008D2466"/>
    <w:rsid w:val="008D2D61"/>
    <w:rsid w:val="008D3756"/>
    <w:rsid w:val="008D3A4E"/>
    <w:rsid w:val="008D4265"/>
    <w:rsid w:val="008D4394"/>
    <w:rsid w:val="008D5170"/>
    <w:rsid w:val="008D52F9"/>
    <w:rsid w:val="008D5BD8"/>
    <w:rsid w:val="008D609F"/>
    <w:rsid w:val="008D77FC"/>
    <w:rsid w:val="008D78F1"/>
    <w:rsid w:val="008D7A3D"/>
    <w:rsid w:val="008D7F71"/>
    <w:rsid w:val="008E0416"/>
    <w:rsid w:val="008E042A"/>
    <w:rsid w:val="008E11A2"/>
    <w:rsid w:val="008E2057"/>
    <w:rsid w:val="008E2FDF"/>
    <w:rsid w:val="008E46B4"/>
    <w:rsid w:val="008E60F2"/>
    <w:rsid w:val="008E6701"/>
    <w:rsid w:val="008E69BE"/>
    <w:rsid w:val="008E714C"/>
    <w:rsid w:val="008F1589"/>
    <w:rsid w:val="008F2474"/>
    <w:rsid w:val="008F2770"/>
    <w:rsid w:val="008F4B86"/>
    <w:rsid w:val="008F5DE4"/>
    <w:rsid w:val="008F64A3"/>
    <w:rsid w:val="008F74F5"/>
    <w:rsid w:val="0090225D"/>
    <w:rsid w:val="00903100"/>
    <w:rsid w:val="009039F7"/>
    <w:rsid w:val="00903AB3"/>
    <w:rsid w:val="00903E7A"/>
    <w:rsid w:val="00904855"/>
    <w:rsid w:val="00905075"/>
    <w:rsid w:val="00905C8D"/>
    <w:rsid w:val="00910036"/>
    <w:rsid w:val="009101C6"/>
    <w:rsid w:val="00912760"/>
    <w:rsid w:val="00915F81"/>
    <w:rsid w:val="00916F14"/>
    <w:rsid w:val="00916F82"/>
    <w:rsid w:val="00920802"/>
    <w:rsid w:val="00921D84"/>
    <w:rsid w:val="00921F22"/>
    <w:rsid w:val="0092450B"/>
    <w:rsid w:val="00925186"/>
    <w:rsid w:val="00925738"/>
    <w:rsid w:val="00926AD2"/>
    <w:rsid w:val="009303B7"/>
    <w:rsid w:val="00930FA1"/>
    <w:rsid w:val="00931338"/>
    <w:rsid w:val="009321CC"/>
    <w:rsid w:val="00932AF6"/>
    <w:rsid w:val="009335D3"/>
    <w:rsid w:val="00937851"/>
    <w:rsid w:val="00937BD1"/>
    <w:rsid w:val="0094002B"/>
    <w:rsid w:val="009404AE"/>
    <w:rsid w:val="00941340"/>
    <w:rsid w:val="0094164F"/>
    <w:rsid w:val="00941B02"/>
    <w:rsid w:val="00941CD1"/>
    <w:rsid w:val="00942310"/>
    <w:rsid w:val="00943802"/>
    <w:rsid w:val="009440E1"/>
    <w:rsid w:val="00945E28"/>
    <w:rsid w:val="00946F7C"/>
    <w:rsid w:val="0094735D"/>
    <w:rsid w:val="009501F7"/>
    <w:rsid w:val="00951A4A"/>
    <w:rsid w:val="0095361D"/>
    <w:rsid w:val="0095435C"/>
    <w:rsid w:val="00955863"/>
    <w:rsid w:val="009570E2"/>
    <w:rsid w:val="00957143"/>
    <w:rsid w:val="009576B1"/>
    <w:rsid w:val="0095773D"/>
    <w:rsid w:val="00961753"/>
    <w:rsid w:val="00962FB7"/>
    <w:rsid w:val="0096321C"/>
    <w:rsid w:val="009640EF"/>
    <w:rsid w:val="00964B2B"/>
    <w:rsid w:val="00964BC6"/>
    <w:rsid w:val="009656BE"/>
    <w:rsid w:val="009656D7"/>
    <w:rsid w:val="00965A9B"/>
    <w:rsid w:val="00966180"/>
    <w:rsid w:val="00966248"/>
    <w:rsid w:val="0096637C"/>
    <w:rsid w:val="00967514"/>
    <w:rsid w:val="0096773F"/>
    <w:rsid w:val="00967DC7"/>
    <w:rsid w:val="00971218"/>
    <w:rsid w:val="0097123D"/>
    <w:rsid w:val="00973C16"/>
    <w:rsid w:val="0097402A"/>
    <w:rsid w:val="00974602"/>
    <w:rsid w:val="00974801"/>
    <w:rsid w:val="00975C1E"/>
    <w:rsid w:val="009763D4"/>
    <w:rsid w:val="00976440"/>
    <w:rsid w:val="00977FFD"/>
    <w:rsid w:val="00980F7E"/>
    <w:rsid w:val="00980FBF"/>
    <w:rsid w:val="00981822"/>
    <w:rsid w:val="00981956"/>
    <w:rsid w:val="00981C4E"/>
    <w:rsid w:val="00984825"/>
    <w:rsid w:val="009856BD"/>
    <w:rsid w:val="0098588C"/>
    <w:rsid w:val="009860DC"/>
    <w:rsid w:val="00986B89"/>
    <w:rsid w:val="00986ED1"/>
    <w:rsid w:val="009875B5"/>
    <w:rsid w:val="00987801"/>
    <w:rsid w:val="009909C5"/>
    <w:rsid w:val="009909F3"/>
    <w:rsid w:val="00991C73"/>
    <w:rsid w:val="00992162"/>
    <w:rsid w:val="00992446"/>
    <w:rsid w:val="009935B0"/>
    <w:rsid w:val="00994105"/>
    <w:rsid w:val="00994171"/>
    <w:rsid w:val="009954CB"/>
    <w:rsid w:val="009964D2"/>
    <w:rsid w:val="0099677B"/>
    <w:rsid w:val="00996B3F"/>
    <w:rsid w:val="0099783C"/>
    <w:rsid w:val="00997B27"/>
    <w:rsid w:val="009A15F7"/>
    <w:rsid w:val="009A1CF0"/>
    <w:rsid w:val="009A3EF1"/>
    <w:rsid w:val="009A6D13"/>
    <w:rsid w:val="009A6F30"/>
    <w:rsid w:val="009A72CB"/>
    <w:rsid w:val="009A76CC"/>
    <w:rsid w:val="009A7877"/>
    <w:rsid w:val="009B2AEF"/>
    <w:rsid w:val="009B2D22"/>
    <w:rsid w:val="009B365E"/>
    <w:rsid w:val="009B38D8"/>
    <w:rsid w:val="009B49EE"/>
    <w:rsid w:val="009B5407"/>
    <w:rsid w:val="009B5A65"/>
    <w:rsid w:val="009B5FF2"/>
    <w:rsid w:val="009B61DC"/>
    <w:rsid w:val="009C003A"/>
    <w:rsid w:val="009C08D1"/>
    <w:rsid w:val="009C0A93"/>
    <w:rsid w:val="009C11AC"/>
    <w:rsid w:val="009C1F64"/>
    <w:rsid w:val="009C2399"/>
    <w:rsid w:val="009C30E3"/>
    <w:rsid w:val="009C3CC9"/>
    <w:rsid w:val="009C544C"/>
    <w:rsid w:val="009C60BA"/>
    <w:rsid w:val="009C6709"/>
    <w:rsid w:val="009C6739"/>
    <w:rsid w:val="009C6D37"/>
    <w:rsid w:val="009C6E92"/>
    <w:rsid w:val="009C7A44"/>
    <w:rsid w:val="009D0299"/>
    <w:rsid w:val="009D03C8"/>
    <w:rsid w:val="009D0638"/>
    <w:rsid w:val="009D1CFA"/>
    <w:rsid w:val="009D242F"/>
    <w:rsid w:val="009D2C89"/>
    <w:rsid w:val="009D3333"/>
    <w:rsid w:val="009D3BF1"/>
    <w:rsid w:val="009D3C85"/>
    <w:rsid w:val="009D4049"/>
    <w:rsid w:val="009D4071"/>
    <w:rsid w:val="009D5D1D"/>
    <w:rsid w:val="009D6855"/>
    <w:rsid w:val="009D6D80"/>
    <w:rsid w:val="009D7BB2"/>
    <w:rsid w:val="009E03B8"/>
    <w:rsid w:val="009E0D7C"/>
    <w:rsid w:val="009E347B"/>
    <w:rsid w:val="009E5117"/>
    <w:rsid w:val="009E56DA"/>
    <w:rsid w:val="009E5738"/>
    <w:rsid w:val="009E59E6"/>
    <w:rsid w:val="009E6083"/>
    <w:rsid w:val="009E648B"/>
    <w:rsid w:val="009F1BD3"/>
    <w:rsid w:val="009F216F"/>
    <w:rsid w:val="009F25A9"/>
    <w:rsid w:val="009F3947"/>
    <w:rsid w:val="009F42D2"/>
    <w:rsid w:val="009F6B5C"/>
    <w:rsid w:val="009F7414"/>
    <w:rsid w:val="00A00220"/>
    <w:rsid w:val="00A0070E"/>
    <w:rsid w:val="00A00891"/>
    <w:rsid w:val="00A00A31"/>
    <w:rsid w:val="00A018B2"/>
    <w:rsid w:val="00A0531A"/>
    <w:rsid w:val="00A057E7"/>
    <w:rsid w:val="00A05AA8"/>
    <w:rsid w:val="00A06651"/>
    <w:rsid w:val="00A06CD3"/>
    <w:rsid w:val="00A06D05"/>
    <w:rsid w:val="00A0705F"/>
    <w:rsid w:val="00A079D1"/>
    <w:rsid w:val="00A07F00"/>
    <w:rsid w:val="00A10B0B"/>
    <w:rsid w:val="00A10FB8"/>
    <w:rsid w:val="00A11621"/>
    <w:rsid w:val="00A11B08"/>
    <w:rsid w:val="00A1242C"/>
    <w:rsid w:val="00A12A11"/>
    <w:rsid w:val="00A12B94"/>
    <w:rsid w:val="00A14427"/>
    <w:rsid w:val="00A151B7"/>
    <w:rsid w:val="00A15C46"/>
    <w:rsid w:val="00A15E7C"/>
    <w:rsid w:val="00A177D9"/>
    <w:rsid w:val="00A17B9F"/>
    <w:rsid w:val="00A20CB4"/>
    <w:rsid w:val="00A22894"/>
    <w:rsid w:val="00A23E3D"/>
    <w:rsid w:val="00A2406E"/>
    <w:rsid w:val="00A26141"/>
    <w:rsid w:val="00A26B1E"/>
    <w:rsid w:val="00A274F0"/>
    <w:rsid w:val="00A30990"/>
    <w:rsid w:val="00A30D6E"/>
    <w:rsid w:val="00A3162D"/>
    <w:rsid w:val="00A31DBB"/>
    <w:rsid w:val="00A3238E"/>
    <w:rsid w:val="00A3357A"/>
    <w:rsid w:val="00A33761"/>
    <w:rsid w:val="00A34301"/>
    <w:rsid w:val="00A34E0C"/>
    <w:rsid w:val="00A35498"/>
    <w:rsid w:val="00A3655F"/>
    <w:rsid w:val="00A36737"/>
    <w:rsid w:val="00A371B7"/>
    <w:rsid w:val="00A37BC4"/>
    <w:rsid w:val="00A40949"/>
    <w:rsid w:val="00A42904"/>
    <w:rsid w:val="00A43C11"/>
    <w:rsid w:val="00A4479E"/>
    <w:rsid w:val="00A45700"/>
    <w:rsid w:val="00A45848"/>
    <w:rsid w:val="00A46A91"/>
    <w:rsid w:val="00A46DC3"/>
    <w:rsid w:val="00A46E42"/>
    <w:rsid w:val="00A46EAF"/>
    <w:rsid w:val="00A47BF8"/>
    <w:rsid w:val="00A53134"/>
    <w:rsid w:val="00A5319D"/>
    <w:rsid w:val="00A53D7E"/>
    <w:rsid w:val="00A54666"/>
    <w:rsid w:val="00A55314"/>
    <w:rsid w:val="00A5538B"/>
    <w:rsid w:val="00A5608C"/>
    <w:rsid w:val="00A57BFC"/>
    <w:rsid w:val="00A60220"/>
    <w:rsid w:val="00A6063A"/>
    <w:rsid w:val="00A61116"/>
    <w:rsid w:val="00A6170F"/>
    <w:rsid w:val="00A62451"/>
    <w:rsid w:val="00A636C5"/>
    <w:rsid w:val="00A63DF7"/>
    <w:rsid w:val="00A6566D"/>
    <w:rsid w:val="00A657AE"/>
    <w:rsid w:val="00A67040"/>
    <w:rsid w:val="00A673B9"/>
    <w:rsid w:val="00A67FD5"/>
    <w:rsid w:val="00A725A6"/>
    <w:rsid w:val="00A73305"/>
    <w:rsid w:val="00A73E20"/>
    <w:rsid w:val="00A75EEE"/>
    <w:rsid w:val="00A769E6"/>
    <w:rsid w:val="00A76BF9"/>
    <w:rsid w:val="00A80635"/>
    <w:rsid w:val="00A81041"/>
    <w:rsid w:val="00A811B1"/>
    <w:rsid w:val="00A8294A"/>
    <w:rsid w:val="00A82EE0"/>
    <w:rsid w:val="00A842EB"/>
    <w:rsid w:val="00A84959"/>
    <w:rsid w:val="00A8495D"/>
    <w:rsid w:val="00A85899"/>
    <w:rsid w:val="00A86C80"/>
    <w:rsid w:val="00A86D4F"/>
    <w:rsid w:val="00A86FAD"/>
    <w:rsid w:val="00A90207"/>
    <w:rsid w:val="00A90482"/>
    <w:rsid w:val="00A904B3"/>
    <w:rsid w:val="00A90A50"/>
    <w:rsid w:val="00A9131C"/>
    <w:rsid w:val="00A93708"/>
    <w:rsid w:val="00A939A9"/>
    <w:rsid w:val="00A93F8A"/>
    <w:rsid w:val="00A9522C"/>
    <w:rsid w:val="00A95799"/>
    <w:rsid w:val="00A95D7C"/>
    <w:rsid w:val="00A96262"/>
    <w:rsid w:val="00AA0379"/>
    <w:rsid w:val="00AA2424"/>
    <w:rsid w:val="00AA279D"/>
    <w:rsid w:val="00AA2B1F"/>
    <w:rsid w:val="00AA2B7F"/>
    <w:rsid w:val="00AA3425"/>
    <w:rsid w:val="00AA3C8D"/>
    <w:rsid w:val="00AA5FA9"/>
    <w:rsid w:val="00AA695E"/>
    <w:rsid w:val="00AA7FB4"/>
    <w:rsid w:val="00AB144F"/>
    <w:rsid w:val="00AB1DF9"/>
    <w:rsid w:val="00AB297D"/>
    <w:rsid w:val="00AB37B3"/>
    <w:rsid w:val="00AB4A6F"/>
    <w:rsid w:val="00AB4B5B"/>
    <w:rsid w:val="00AB4BAF"/>
    <w:rsid w:val="00AB516C"/>
    <w:rsid w:val="00AB618F"/>
    <w:rsid w:val="00AB7696"/>
    <w:rsid w:val="00AC0229"/>
    <w:rsid w:val="00AC0855"/>
    <w:rsid w:val="00AC08AD"/>
    <w:rsid w:val="00AC0C8B"/>
    <w:rsid w:val="00AC1A45"/>
    <w:rsid w:val="00AC2CF4"/>
    <w:rsid w:val="00AC4E2B"/>
    <w:rsid w:val="00AC4FF8"/>
    <w:rsid w:val="00AC5387"/>
    <w:rsid w:val="00AC5AC2"/>
    <w:rsid w:val="00AC5CCF"/>
    <w:rsid w:val="00AC78C2"/>
    <w:rsid w:val="00AD30D3"/>
    <w:rsid w:val="00AD31E8"/>
    <w:rsid w:val="00AD4194"/>
    <w:rsid w:val="00AD45BF"/>
    <w:rsid w:val="00AD66ED"/>
    <w:rsid w:val="00AD6736"/>
    <w:rsid w:val="00AD7447"/>
    <w:rsid w:val="00AD78EB"/>
    <w:rsid w:val="00AE03B1"/>
    <w:rsid w:val="00AE1417"/>
    <w:rsid w:val="00AE1C3D"/>
    <w:rsid w:val="00AE225B"/>
    <w:rsid w:val="00AE2E7E"/>
    <w:rsid w:val="00AE36C5"/>
    <w:rsid w:val="00AE3EF6"/>
    <w:rsid w:val="00AE526F"/>
    <w:rsid w:val="00AE600C"/>
    <w:rsid w:val="00AE6128"/>
    <w:rsid w:val="00AE6CDD"/>
    <w:rsid w:val="00AF18B8"/>
    <w:rsid w:val="00AF18DA"/>
    <w:rsid w:val="00AF19D4"/>
    <w:rsid w:val="00AF1DE6"/>
    <w:rsid w:val="00AF2934"/>
    <w:rsid w:val="00AF3490"/>
    <w:rsid w:val="00AF45AC"/>
    <w:rsid w:val="00AF45C2"/>
    <w:rsid w:val="00AF4EE4"/>
    <w:rsid w:val="00AF4F85"/>
    <w:rsid w:val="00AF590D"/>
    <w:rsid w:val="00AF6B56"/>
    <w:rsid w:val="00B01854"/>
    <w:rsid w:val="00B02243"/>
    <w:rsid w:val="00B03224"/>
    <w:rsid w:val="00B0500A"/>
    <w:rsid w:val="00B05ACF"/>
    <w:rsid w:val="00B0605F"/>
    <w:rsid w:val="00B061F7"/>
    <w:rsid w:val="00B06526"/>
    <w:rsid w:val="00B067B4"/>
    <w:rsid w:val="00B06DB4"/>
    <w:rsid w:val="00B0725E"/>
    <w:rsid w:val="00B0771B"/>
    <w:rsid w:val="00B077C3"/>
    <w:rsid w:val="00B07A9F"/>
    <w:rsid w:val="00B1062E"/>
    <w:rsid w:val="00B10686"/>
    <w:rsid w:val="00B10B04"/>
    <w:rsid w:val="00B11305"/>
    <w:rsid w:val="00B11721"/>
    <w:rsid w:val="00B11FDA"/>
    <w:rsid w:val="00B1310D"/>
    <w:rsid w:val="00B1347F"/>
    <w:rsid w:val="00B134E4"/>
    <w:rsid w:val="00B13846"/>
    <w:rsid w:val="00B13F8F"/>
    <w:rsid w:val="00B141CA"/>
    <w:rsid w:val="00B14666"/>
    <w:rsid w:val="00B16383"/>
    <w:rsid w:val="00B16E17"/>
    <w:rsid w:val="00B1729E"/>
    <w:rsid w:val="00B17883"/>
    <w:rsid w:val="00B179EE"/>
    <w:rsid w:val="00B207A0"/>
    <w:rsid w:val="00B20886"/>
    <w:rsid w:val="00B21889"/>
    <w:rsid w:val="00B22546"/>
    <w:rsid w:val="00B22FDC"/>
    <w:rsid w:val="00B23697"/>
    <w:rsid w:val="00B2377C"/>
    <w:rsid w:val="00B24AA3"/>
    <w:rsid w:val="00B24F28"/>
    <w:rsid w:val="00B254EC"/>
    <w:rsid w:val="00B26C24"/>
    <w:rsid w:val="00B27091"/>
    <w:rsid w:val="00B27EB6"/>
    <w:rsid w:val="00B305FB"/>
    <w:rsid w:val="00B30814"/>
    <w:rsid w:val="00B30CFA"/>
    <w:rsid w:val="00B30F51"/>
    <w:rsid w:val="00B3104E"/>
    <w:rsid w:val="00B31773"/>
    <w:rsid w:val="00B31A40"/>
    <w:rsid w:val="00B31D94"/>
    <w:rsid w:val="00B31F43"/>
    <w:rsid w:val="00B32524"/>
    <w:rsid w:val="00B3313C"/>
    <w:rsid w:val="00B34FE4"/>
    <w:rsid w:val="00B359B0"/>
    <w:rsid w:val="00B35B50"/>
    <w:rsid w:val="00B37638"/>
    <w:rsid w:val="00B37BE5"/>
    <w:rsid w:val="00B40B4A"/>
    <w:rsid w:val="00B4118F"/>
    <w:rsid w:val="00B4218B"/>
    <w:rsid w:val="00B42539"/>
    <w:rsid w:val="00B429CA"/>
    <w:rsid w:val="00B42A12"/>
    <w:rsid w:val="00B42EDE"/>
    <w:rsid w:val="00B435EC"/>
    <w:rsid w:val="00B43A57"/>
    <w:rsid w:val="00B44039"/>
    <w:rsid w:val="00B45683"/>
    <w:rsid w:val="00B4596F"/>
    <w:rsid w:val="00B45C07"/>
    <w:rsid w:val="00B45C6F"/>
    <w:rsid w:val="00B4708E"/>
    <w:rsid w:val="00B51543"/>
    <w:rsid w:val="00B5168E"/>
    <w:rsid w:val="00B51EB5"/>
    <w:rsid w:val="00B52B3F"/>
    <w:rsid w:val="00B547C1"/>
    <w:rsid w:val="00B55111"/>
    <w:rsid w:val="00B5642F"/>
    <w:rsid w:val="00B564C1"/>
    <w:rsid w:val="00B56C33"/>
    <w:rsid w:val="00B5796A"/>
    <w:rsid w:val="00B6102B"/>
    <w:rsid w:val="00B613DE"/>
    <w:rsid w:val="00B61746"/>
    <w:rsid w:val="00B62D57"/>
    <w:rsid w:val="00B63428"/>
    <w:rsid w:val="00B6371A"/>
    <w:rsid w:val="00B64C70"/>
    <w:rsid w:val="00B66B09"/>
    <w:rsid w:val="00B70090"/>
    <w:rsid w:val="00B70E81"/>
    <w:rsid w:val="00B714D1"/>
    <w:rsid w:val="00B7188F"/>
    <w:rsid w:val="00B719A0"/>
    <w:rsid w:val="00B745CF"/>
    <w:rsid w:val="00B75B94"/>
    <w:rsid w:val="00B7718D"/>
    <w:rsid w:val="00B806A8"/>
    <w:rsid w:val="00B80988"/>
    <w:rsid w:val="00B81361"/>
    <w:rsid w:val="00B842C8"/>
    <w:rsid w:val="00B85A1C"/>
    <w:rsid w:val="00B85D32"/>
    <w:rsid w:val="00B86278"/>
    <w:rsid w:val="00B86765"/>
    <w:rsid w:val="00B8766D"/>
    <w:rsid w:val="00B87759"/>
    <w:rsid w:val="00B90695"/>
    <w:rsid w:val="00B91EA9"/>
    <w:rsid w:val="00B923EE"/>
    <w:rsid w:val="00B93B1D"/>
    <w:rsid w:val="00B94FA9"/>
    <w:rsid w:val="00B957C1"/>
    <w:rsid w:val="00B96651"/>
    <w:rsid w:val="00BA0AD4"/>
    <w:rsid w:val="00BA0CC6"/>
    <w:rsid w:val="00BA150E"/>
    <w:rsid w:val="00BA287B"/>
    <w:rsid w:val="00BA3D6A"/>
    <w:rsid w:val="00BA3FC3"/>
    <w:rsid w:val="00BA40A7"/>
    <w:rsid w:val="00BA44CE"/>
    <w:rsid w:val="00BA4913"/>
    <w:rsid w:val="00BA6224"/>
    <w:rsid w:val="00BA6908"/>
    <w:rsid w:val="00BA6EF2"/>
    <w:rsid w:val="00BA74E1"/>
    <w:rsid w:val="00BA784F"/>
    <w:rsid w:val="00BB225D"/>
    <w:rsid w:val="00BB2931"/>
    <w:rsid w:val="00BB3991"/>
    <w:rsid w:val="00BB4A6C"/>
    <w:rsid w:val="00BB5647"/>
    <w:rsid w:val="00BB5772"/>
    <w:rsid w:val="00BB5D18"/>
    <w:rsid w:val="00BB5DD6"/>
    <w:rsid w:val="00BB65D5"/>
    <w:rsid w:val="00BB684C"/>
    <w:rsid w:val="00BB6BE7"/>
    <w:rsid w:val="00BB7CBC"/>
    <w:rsid w:val="00BB7D2A"/>
    <w:rsid w:val="00BC069A"/>
    <w:rsid w:val="00BC09EA"/>
    <w:rsid w:val="00BC130B"/>
    <w:rsid w:val="00BC1593"/>
    <w:rsid w:val="00BC1939"/>
    <w:rsid w:val="00BC1B52"/>
    <w:rsid w:val="00BC1FA3"/>
    <w:rsid w:val="00BC3367"/>
    <w:rsid w:val="00BC3649"/>
    <w:rsid w:val="00BC3A88"/>
    <w:rsid w:val="00BC3BEA"/>
    <w:rsid w:val="00BC562F"/>
    <w:rsid w:val="00BC62CC"/>
    <w:rsid w:val="00BC6B9E"/>
    <w:rsid w:val="00BC7A28"/>
    <w:rsid w:val="00BD06C5"/>
    <w:rsid w:val="00BD1CD4"/>
    <w:rsid w:val="00BD1D1C"/>
    <w:rsid w:val="00BD2761"/>
    <w:rsid w:val="00BD3059"/>
    <w:rsid w:val="00BD3236"/>
    <w:rsid w:val="00BD3ABB"/>
    <w:rsid w:val="00BD3F13"/>
    <w:rsid w:val="00BD46E6"/>
    <w:rsid w:val="00BD4DED"/>
    <w:rsid w:val="00BD509E"/>
    <w:rsid w:val="00BD55ED"/>
    <w:rsid w:val="00BD5BC4"/>
    <w:rsid w:val="00BD677D"/>
    <w:rsid w:val="00BD78CC"/>
    <w:rsid w:val="00BE0E0C"/>
    <w:rsid w:val="00BE18AB"/>
    <w:rsid w:val="00BE281C"/>
    <w:rsid w:val="00BE34A0"/>
    <w:rsid w:val="00BE5B12"/>
    <w:rsid w:val="00BE7234"/>
    <w:rsid w:val="00BE7A35"/>
    <w:rsid w:val="00BF1962"/>
    <w:rsid w:val="00BF1F73"/>
    <w:rsid w:val="00BF367D"/>
    <w:rsid w:val="00BF3904"/>
    <w:rsid w:val="00BF39E7"/>
    <w:rsid w:val="00BF5305"/>
    <w:rsid w:val="00BF5812"/>
    <w:rsid w:val="00BF7468"/>
    <w:rsid w:val="00C00402"/>
    <w:rsid w:val="00C00C6A"/>
    <w:rsid w:val="00C00E42"/>
    <w:rsid w:val="00C01352"/>
    <w:rsid w:val="00C013A9"/>
    <w:rsid w:val="00C02470"/>
    <w:rsid w:val="00C0288F"/>
    <w:rsid w:val="00C02C93"/>
    <w:rsid w:val="00C0353B"/>
    <w:rsid w:val="00C03651"/>
    <w:rsid w:val="00C04C6E"/>
    <w:rsid w:val="00C06545"/>
    <w:rsid w:val="00C06E17"/>
    <w:rsid w:val="00C07BE3"/>
    <w:rsid w:val="00C120DC"/>
    <w:rsid w:val="00C12842"/>
    <w:rsid w:val="00C1321D"/>
    <w:rsid w:val="00C14050"/>
    <w:rsid w:val="00C16561"/>
    <w:rsid w:val="00C16C97"/>
    <w:rsid w:val="00C16D5B"/>
    <w:rsid w:val="00C16FEF"/>
    <w:rsid w:val="00C205C2"/>
    <w:rsid w:val="00C21694"/>
    <w:rsid w:val="00C218FD"/>
    <w:rsid w:val="00C22187"/>
    <w:rsid w:val="00C2428D"/>
    <w:rsid w:val="00C24ED7"/>
    <w:rsid w:val="00C25C57"/>
    <w:rsid w:val="00C27A1C"/>
    <w:rsid w:val="00C27AF4"/>
    <w:rsid w:val="00C3066E"/>
    <w:rsid w:val="00C32241"/>
    <w:rsid w:val="00C32B8E"/>
    <w:rsid w:val="00C33058"/>
    <w:rsid w:val="00C33570"/>
    <w:rsid w:val="00C33D2E"/>
    <w:rsid w:val="00C34245"/>
    <w:rsid w:val="00C34481"/>
    <w:rsid w:val="00C350DA"/>
    <w:rsid w:val="00C35FA1"/>
    <w:rsid w:val="00C361D9"/>
    <w:rsid w:val="00C364AB"/>
    <w:rsid w:val="00C367E5"/>
    <w:rsid w:val="00C37D86"/>
    <w:rsid w:val="00C40029"/>
    <w:rsid w:val="00C406BF"/>
    <w:rsid w:val="00C417C3"/>
    <w:rsid w:val="00C41994"/>
    <w:rsid w:val="00C41D64"/>
    <w:rsid w:val="00C421AB"/>
    <w:rsid w:val="00C42A63"/>
    <w:rsid w:val="00C42F3D"/>
    <w:rsid w:val="00C42F45"/>
    <w:rsid w:val="00C43109"/>
    <w:rsid w:val="00C437DE"/>
    <w:rsid w:val="00C43995"/>
    <w:rsid w:val="00C43C91"/>
    <w:rsid w:val="00C43FB2"/>
    <w:rsid w:val="00C447BD"/>
    <w:rsid w:val="00C44866"/>
    <w:rsid w:val="00C453F6"/>
    <w:rsid w:val="00C45C99"/>
    <w:rsid w:val="00C46B60"/>
    <w:rsid w:val="00C50F29"/>
    <w:rsid w:val="00C51D98"/>
    <w:rsid w:val="00C521A6"/>
    <w:rsid w:val="00C5241F"/>
    <w:rsid w:val="00C55E18"/>
    <w:rsid w:val="00C56EE5"/>
    <w:rsid w:val="00C61003"/>
    <w:rsid w:val="00C614E8"/>
    <w:rsid w:val="00C616FE"/>
    <w:rsid w:val="00C62EF3"/>
    <w:rsid w:val="00C62FBF"/>
    <w:rsid w:val="00C63245"/>
    <w:rsid w:val="00C64963"/>
    <w:rsid w:val="00C65546"/>
    <w:rsid w:val="00C65900"/>
    <w:rsid w:val="00C66322"/>
    <w:rsid w:val="00C663CA"/>
    <w:rsid w:val="00C668EC"/>
    <w:rsid w:val="00C66F71"/>
    <w:rsid w:val="00C67544"/>
    <w:rsid w:val="00C67576"/>
    <w:rsid w:val="00C67C0A"/>
    <w:rsid w:val="00C67C77"/>
    <w:rsid w:val="00C700EF"/>
    <w:rsid w:val="00C70EC3"/>
    <w:rsid w:val="00C71959"/>
    <w:rsid w:val="00C73D83"/>
    <w:rsid w:val="00C74C53"/>
    <w:rsid w:val="00C755B1"/>
    <w:rsid w:val="00C758A9"/>
    <w:rsid w:val="00C76ED2"/>
    <w:rsid w:val="00C7737C"/>
    <w:rsid w:val="00C7751C"/>
    <w:rsid w:val="00C77736"/>
    <w:rsid w:val="00C82F7A"/>
    <w:rsid w:val="00C8576B"/>
    <w:rsid w:val="00C86ECF"/>
    <w:rsid w:val="00C87371"/>
    <w:rsid w:val="00C8737B"/>
    <w:rsid w:val="00C90AAA"/>
    <w:rsid w:val="00C90D69"/>
    <w:rsid w:val="00C92105"/>
    <w:rsid w:val="00C92E94"/>
    <w:rsid w:val="00C931B1"/>
    <w:rsid w:val="00C935DA"/>
    <w:rsid w:val="00C9388B"/>
    <w:rsid w:val="00C94930"/>
    <w:rsid w:val="00C9538E"/>
    <w:rsid w:val="00C96169"/>
    <w:rsid w:val="00C961FB"/>
    <w:rsid w:val="00C96764"/>
    <w:rsid w:val="00C970A7"/>
    <w:rsid w:val="00C9757B"/>
    <w:rsid w:val="00C97F39"/>
    <w:rsid w:val="00CA06AB"/>
    <w:rsid w:val="00CA12B6"/>
    <w:rsid w:val="00CA1CBF"/>
    <w:rsid w:val="00CA1D39"/>
    <w:rsid w:val="00CA5E82"/>
    <w:rsid w:val="00CA6F4B"/>
    <w:rsid w:val="00CB0554"/>
    <w:rsid w:val="00CB058A"/>
    <w:rsid w:val="00CB154E"/>
    <w:rsid w:val="00CB2269"/>
    <w:rsid w:val="00CB3B50"/>
    <w:rsid w:val="00CB620E"/>
    <w:rsid w:val="00CB74E9"/>
    <w:rsid w:val="00CB7AAA"/>
    <w:rsid w:val="00CC131E"/>
    <w:rsid w:val="00CC1F04"/>
    <w:rsid w:val="00CC7986"/>
    <w:rsid w:val="00CC79A5"/>
    <w:rsid w:val="00CD0180"/>
    <w:rsid w:val="00CD03E6"/>
    <w:rsid w:val="00CD0AD2"/>
    <w:rsid w:val="00CD0F0B"/>
    <w:rsid w:val="00CD158A"/>
    <w:rsid w:val="00CD1AA2"/>
    <w:rsid w:val="00CD219E"/>
    <w:rsid w:val="00CD23CD"/>
    <w:rsid w:val="00CD3855"/>
    <w:rsid w:val="00CD3CA0"/>
    <w:rsid w:val="00CD4F18"/>
    <w:rsid w:val="00CD502B"/>
    <w:rsid w:val="00CD5E68"/>
    <w:rsid w:val="00CE06AC"/>
    <w:rsid w:val="00CE128F"/>
    <w:rsid w:val="00CE1BD8"/>
    <w:rsid w:val="00CE1FD7"/>
    <w:rsid w:val="00CE20FF"/>
    <w:rsid w:val="00CE213B"/>
    <w:rsid w:val="00CE4278"/>
    <w:rsid w:val="00CE6300"/>
    <w:rsid w:val="00CE7050"/>
    <w:rsid w:val="00CE735F"/>
    <w:rsid w:val="00CE7649"/>
    <w:rsid w:val="00CE783D"/>
    <w:rsid w:val="00CE7885"/>
    <w:rsid w:val="00CF047F"/>
    <w:rsid w:val="00CF0856"/>
    <w:rsid w:val="00CF0B70"/>
    <w:rsid w:val="00CF0CD0"/>
    <w:rsid w:val="00CF0EE1"/>
    <w:rsid w:val="00CF14D5"/>
    <w:rsid w:val="00CF16C5"/>
    <w:rsid w:val="00CF1765"/>
    <w:rsid w:val="00CF2242"/>
    <w:rsid w:val="00CF37F0"/>
    <w:rsid w:val="00CF6FAD"/>
    <w:rsid w:val="00D000CF"/>
    <w:rsid w:val="00D007C6"/>
    <w:rsid w:val="00D01A47"/>
    <w:rsid w:val="00D03270"/>
    <w:rsid w:val="00D04D84"/>
    <w:rsid w:val="00D04EE3"/>
    <w:rsid w:val="00D0532D"/>
    <w:rsid w:val="00D065E2"/>
    <w:rsid w:val="00D068FF"/>
    <w:rsid w:val="00D06950"/>
    <w:rsid w:val="00D070E6"/>
    <w:rsid w:val="00D127DF"/>
    <w:rsid w:val="00D12F9B"/>
    <w:rsid w:val="00D139D6"/>
    <w:rsid w:val="00D13D19"/>
    <w:rsid w:val="00D14A4A"/>
    <w:rsid w:val="00D14B52"/>
    <w:rsid w:val="00D15C1E"/>
    <w:rsid w:val="00D1613B"/>
    <w:rsid w:val="00D162B6"/>
    <w:rsid w:val="00D16344"/>
    <w:rsid w:val="00D17C72"/>
    <w:rsid w:val="00D203EA"/>
    <w:rsid w:val="00D22761"/>
    <w:rsid w:val="00D2291C"/>
    <w:rsid w:val="00D22B5B"/>
    <w:rsid w:val="00D236F4"/>
    <w:rsid w:val="00D23ABC"/>
    <w:rsid w:val="00D23E34"/>
    <w:rsid w:val="00D24D57"/>
    <w:rsid w:val="00D27352"/>
    <w:rsid w:val="00D30825"/>
    <w:rsid w:val="00D30D27"/>
    <w:rsid w:val="00D3149D"/>
    <w:rsid w:val="00D31ED0"/>
    <w:rsid w:val="00D32594"/>
    <w:rsid w:val="00D331A5"/>
    <w:rsid w:val="00D33335"/>
    <w:rsid w:val="00D33B6B"/>
    <w:rsid w:val="00D33C09"/>
    <w:rsid w:val="00D348CE"/>
    <w:rsid w:val="00D35288"/>
    <w:rsid w:val="00D352F2"/>
    <w:rsid w:val="00D35785"/>
    <w:rsid w:val="00D372E8"/>
    <w:rsid w:val="00D40A38"/>
    <w:rsid w:val="00D40CD8"/>
    <w:rsid w:val="00D414EB"/>
    <w:rsid w:val="00D42335"/>
    <w:rsid w:val="00D4290D"/>
    <w:rsid w:val="00D43F74"/>
    <w:rsid w:val="00D442E5"/>
    <w:rsid w:val="00D44AA8"/>
    <w:rsid w:val="00D44BD8"/>
    <w:rsid w:val="00D44BDD"/>
    <w:rsid w:val="00D4519C"/>
    <w:rsid w:val="00D453E4"/>
    <w:rsid w:val="00D45F34"/>
    <w:rsid w:val="00D46F20"/>
    <w:rsid w:val="00D50738"/>
    <w:rsid w:val="00D5150F"/>
    <w:rsid w:val="00D517B3"/>
    <w:rsid w:val="00D520D0"/>
    <w:rsid w:val="00D523EF"/>
    <w:rsid w:val="00D52413"/>
    <w:rsid w:val="00D52FF6"/>
    <w:rsid w:val="00D532B6"/>
    <w:rsid w:val="00D533FE"/>
    <w:rsid w:val="00D5357B"/>
    <w:rsid w:val="00D53CE8"/>
    <w:rsid w:val="00D558D1"/>
    <w:rsid w:val="00D563F4"/>
    <w:rsid w:val="00D57101"/>
    <w:rsid w:val="00D606B6"/>
    <w:rsid w:val="00D63A42"/>
    <w:rsid w:val="00D6427B"/>
    <w:rsid w:val="00D64950"/>
    <w:rsid w:val="00D6559D"/>
    <w:rsid w:val="00D65BA5"/>
    <w:rsid w:val="00D65E82"/>
    <w:rsid w:val="00D66297"/>
    <w:rsid w:val="00D67AA3"/>
    <w:rsid w:val="00D70449"/>
    <w:rsid w:val="00D70A23"/>
    <w:rsid w:val="00D71044"/>
    <w:rsid w:val="00D710BE"/>
    <w:rsid w:val="00D71D31"/>
    <w:rsid w:val="00D7360C"/>
    <w:rsid w:val="00D74642"/>
    <w:rsid w:val="00D75210"/>
    <w:rsid w:val="00D759A1"/>
    <w:rsid w:val="00D7656A"/>
    <w:rsid w:val="00D76B76"/>
    <w:rsid w:val="00D80BB1"/>
    <w:rsid w:val="00D814A4"/>
    <w:rsid w:val="00D81A0A"/>
    <w:rsid w:val="00D81BBF"/>
    <w:rsid w:val="00D82037"/>
    <w:rsid w:val="00D8475E"/>
    <w:rsid w:val="00D84A52"/>
    <w:rsid w:val="00D84CAA"/>
    <w:rsid w:val="00D84D6C"/>
    <w:rsid w:val="00D85F95"/>
    <w:rsid w:val="00D866E5"/>
    <w:rsid w:val="00D868AE"/>
    <w:rsid w:val="00D86AD4"/>
    <w:rsid w:val="00D87432"/>
    <w:rsid w:val="00D876AB"/>
    <w:rsid w:val="00D900D5"/>
    <w:rsid w:val="00D906E9"/>
    <w:rsid w:val="00D91004"/>
    <w:rsid w:val="00D916DC"/>
    <w:rsid w:val="00D91CF4"/>
    <w:rsid w:val="00D91EE5"/>
    <w:rsid w:val="00D91F57"/>
    <w:rsid w:val="00D926F4"/>
    <w:rsid w:val="00D92D0C"/>
    <w:rsid w:val="00D934F3"/>
    <w:rsid w:val="00D939A9"/>
    <w:rsid w:val="00D94D96"/>
    <w:rsid w:val="00D95722"/>
    <w:rsid w:val="00D97F24"/>
    <w:rsid w:val="00DA00ED"/>
    <w:rsid w:val="00DA0A40"/>
    <w:rsid w:val="00DA0E09"/>
    <w:rsid w:val="00DA1944"/>
    <w:rsid w:val="00DA4F61"/>
    <w:rsid w:val="00DA63A9"/>
    <w:rsid w:val="00DA6491"/>
    <w:rsid w:val="00DA686C"/>
    <w:rsid w:val="00DA6AC4"/>
    <w:rsid w:val="00DA791C"/>
    <w:rsid w:val="00DB0749"/>
    <w:rsid w:val="00DB0993"/>
    <w:rsid w:val="00DB31C3"/>
    <w:rsid w:val="00DB343E"/>
    <w:rsid w:val="00DB441C"/>
    <w:rsid w:val="00DB5C6C"/>
    <w:rsid w:val="00DB7010"/>
    <w:rsid w:val="00DB7995"/>
    <w:rsid w:val="00DC0C0E"/>
    <w:rsid w:val="00DC20C9"/>
    <w:rsid w:val="00DC27FF"/>
    <w:rsid w:val="00DC286B"/>
    <w:rsid w:val="00DC28A0"/>
    <w:rsid w:val="00DC2AFB"/>
    <w:rsid w:val="00DC2C0B"/>
    <w:rsid w:val="00DC366C"/>
    <w:rsid w:val="00DC3A21"/>
    <w:rsid w:val="00DC3E8E"/>
    <w:rsid w:val="00DC479A"/>
    <w:rsid w:val="00DC4A69"/>
    <w:rsid w:val="00DC5DE1"/>
    <w:rsid w:val="00DD0472"/>
    <w:rsid w:val="00DD0C25"/>
    <w:rsid w:val="00DD149D"/>
    <w:rsid w:val="00DD1D87"/>
    <w:rsid w:val="00DD1E72"/>
    <w:rsid w:val="00DD559D"/>
    <w:rsid w:val="00DD5D8D"/>
    <w:rsid w:val="00DD5DE8"/>
    <w:rsid w:val="00DD7993"/>
    <w:rsid w:val="00DE0029"/>
    <w:rsid w:val="00DE206D"/>
    <w:rsid w:val="00DE3316"/>
    <w:rsid w:val="00DE35B1"/>
    <w:rsid w:val="00DE38FB"/>
    <w:rsid w:val="00DE4605"/>
    <w:rsid w:val="00DE58B3"/>
    <w:rsid w:val="00DE58D9"/>
    <w:rsid w:val="00DE6DAF"/>
    <w:rsid w:val="00DE78C3"/>
    <w:rsid w:val="00DF1B26"/>
    <w:rsid w:val="00DF2345"/>
    <w:rsid w:val="00DF252C"/>
    <w:rsid w:val="00DF2A0D"/>
    <w:rsid w:val="00DF3A3E"/>
    <w:rsid w:val="00DF517C"/>
    <w:rsid w:val="00DF5231"/>
    <w:rsid w:val="00DF5F13"/>
    <w:rsid w:val="00DF6696"/>
    <w:rsid w:val="00DF69AE"/>
    <w:rsid w:val="00DF6B76"/>
    <w:rsid w:val="00E013C9"/>
    <w:rsid w:val="00E0242B"/>
    <w:rsid w:val="00E0257C"/>
    <w:rsid w:val="00E02BEF"/>
    <w:rsid w:val="00E02F2A"/>
    <w:rsid w:val="00E03693"/>
    <w:rsid w:val="00E03734"/>
    <w:rsid w:val="00E03EDC"/>
    <w:rsid w:val="00E04168"/>
    <w:rsid w:val="00E04228"/>
    <w:rsid w:val="00E042CE"/>
    <w:rsid w:val="00E0432C"/>
    <w:rsid w:val="00E056CA"/>
    <w:rsid w:val="00E062DB"/>
    <w:rsid w:val="00E06401"/>
    <w:rsid w:val="00E06E0C"/>
    <w:rsid w:val="00E079E3"/>
    <w:rsid w:val="00E07D6D"/>
    <w:rsid w:val="00E11114"/>
    <w:rsid w:val="00E11852"/>
    <w:rsid w:val="00E12A75"/>
    <w:rsid w:val="00E1317E"/>
    <w:rsid w:val="00E13D8A"/>
    <w:rsid w:val="00E13FD0"/>
    <w:rsid w:val="00E1419A"/>
    <w:rsid w:val="00E14D6E"/>
    <w:rsid w:val="00E166A9"/>
    <w:rsid w:val="00E170A4"/>
    <w:rsid w:val="00E1715E"/>
    <w:rsid w:val="00E17889"/>
    <w:rsid w:val="00E20C91"/>
    <w:rsid w:val="00E21004"/>
    <w:rsid w:val="00E21269"/>
    <w:rsid w:val="00E21774"/>
    <w:rsid w:val="00E2260D"/>
    <w:rsid w:val="00E24229"/>
    <w:rsid w:val="00E25603"/>
    <w:rsid w:val="00E25668"/>
    <w:rsid w:val="00E2594B"/>
    <w:rsid w:val="00E25DBB"/>
    <w:rsid w:val="00E26634"/>
    <w:rsid w:val="00E279B5"/>
    <w:rsid w:val="00E30839"/>
    <w:rsid w:val="00E31193"/>
    <w:rsid w:val="00E31655"/>
    <w:rsid w:val="00E31AC0"/>
    <w:rsid w:val="00E32A20"/>
    <w:rsid w:val="00E3417C"/>
    <w:rsid w:val="00E343E3"/>
    <w:rsid w:val="00E349A5"/>
    <w:rsid w:val="00E37C76"/>
    <w:rsid w:val="00E402A8"/>
    <w:rsid w:val="00E404F6"/>
    <w:rsid w:val="00E41606"/>
    <w:rsid w:val="00E423E3"/>
    <w:rsid w:val="00E42833"/>
    <w:rsid w:val="00E44C41"/>
    <w:rsid w:val="00E4539A"/>
    <w:rsid w:val="00E45989"/>
    <w:rsid w:val="00E471AF"/>
    <w:rsid w:val="00E50B26"/>
    <w:rsid w:val="00E52249"/>
    <w:rsid w:val="00E53295"/>
    <w:rsid w:val="00E54810"/>
    <w:rsid w:val="00E548DF"/>
    <w:rsid w:val="00E54FDA"/>
    <w:rsid w:val="00E56A02"/>
    <w:rsid w:val="00E57162"/>
    <w:rsid w:val="00E57586"/>
    <w:rsid w:val="00E57FE2"/>
    <w:rsid w:val="00E616F3"/>
    <w:rsid w:val="00E63153"/>
    <w:rsid w:val="00E63BC7"/>
    <w:rsid w:val="00E654B5"/>
    <w:rsid w:val="00E657DB"/>
    <w:rsid w:val="00E70488"/>
    <w:rsid w:val="00E7266E"/>
    <w:rsid w:val="00E729FC"/>
    <w:rsid w:val="00E73396"/>
    <w:rsid w:val="00E74960"/>
    <w:rsid w:val="00E75B23"/>
    <w:rsid w:val="00E75E3A"/>
    <w:rsid w:val="00E7683F"/>
    <w:rsid w:val="00E76B58"/>
    <w:rsid w:val="00E77B21"/>
    <w:rsid w:val="00E77E3C"/>
    <w:rsid w:val="00E80A46"/>
    <w:rsid w:val="00E81B46"/>
    <w:rsid w:val="00E82138"/>
    <w:rsid w:val="00E83D75"/>
    <w:rsid w:val="00E84485"/>
    <w:rsid w:val="00E844BE"/>
    <w:rsid w:val="00E84FCB"/>
    <w:rsid w:val="00E852D0"/>
    <w:rsid w:val="00E8562B"/>
    <w:rsid w:val="00E859DE"/>
    <w:rsid w:val="00E86073"/>
    <w:rsid w:val="00E860B2"/>
    <w:rsid w:val="00E861BB"/>
    <w:rsid w:val="00E863F9"/>
    <w:rsid w:val="00E869DE"/>
    <w:rsid w:val="00E90296"/>
    <w:rsid w:val="00E90CD5"/>
    <w:rsid w:val="00E91148"/>
    <w:rsid w:val="00E9163E"/>
    <w:rsid w:val="00E91D55"/>
    <w:rsid w:val="00E9361F"/>
    <w:rsid w:val="00E93F8B"/>
    <w:rsid w:val="00E943A8"/>
    <w:rsid w:val="00E96897"/>
    <w:rsid w:val="00EA056D"/>
    <w:rsid w:val="00EA1435"/>
    <w:rsid w:val="00EA3CF1"/>
    <w:rsid w:val="00EA43E7"/>
    <w:rsid w:val="00EA4763"/>
    <w:rsid w:val="00EA4D3D"/>
    <w:rsid w:val="00EA70F2"/>
    <w:rsid w:val="00EA733B"/>
    <w:rsid w:val="00EA7600"/>
    <w:rsid w:val="00EA78A0"/>
    <w:rsid w:val="00EA7CD6"/>
    <w:rsid w:val="00EA7F02"/>
    <w:rsid w:val="00EA7F93"/>
    <w:rsid w:val="00EB2065"/>
    <w:rsid w:val="00EB2249"/>
    <w:rsid w:val="00EB2A61"/>
    <w:rsid w:val="00EB2C8B"/>
    <w:rsid w:val="00EB2CE7"/>
    <w:rsid w:val="00EB491E"/>
    <w:rsid w:val="00EB561B"/>
    <w:rsid w:val="00EB6496"/>
    <w:rsid w:val="00EB6DFC"/>
    <w:rsid w:val="00EB7064"/>
    <w:rsid w:val="00EB71F3"/>
    <w:rsid w:val="00EC0217"/>
    <w:rsid w:val="00EC072E"/>
    <w:rsid w:val="00EC09AF"/>
    <w:rsid w:val="00EC1A24"/>
    <w:rsid w:val="00EC1C7E"/>
    <w:rsid w:val="00EC2A1A"/>
    <w:rsid w:val="00EC3431"/>
    <w:rsid w:val="00EC3772"/>
    <w:rsid w:val="00EC43E6"/>
    <w:rsid w:val="00EC5710"/>
    <w:rsid w:val="00EC5E32"/>
    <w:rsid w:val="00EC6AAF"/>
    <w:rsid w:val="00EC700A"/>
    <w:rsid w:val="00EC7950"/>
    <w:rsid w:val="00EC7E68"/>
    <w:rsid w:val="00ED0806"/>
    <w:rsid w:val="00ED16C4"/>
    <w:rsid w:val="00ED1D87"/>
    <w:rsid w:val="00ED1EB3"/>
    <w:rsid w:val="00ED2DE0"/>
    <w:rsid w:val="00ED3D94"/>
    <w:rsid w:val="00ED48DB"/>
    <w:rsid w:val="00ED4FC5"/>
    <w:rsid w:val="00ED54F7"/>
    <w:rsid w:val="00ED5C0B"/>
    <w:rsid w:val="00ED681F"/>
    <w:rsid w:val="00EE139C"/>
    <w:rsid w:val="00EE17E6"/>
    <w:rsid w:val="00EE1D80"/>
    <w:rsid w:val="00EE20A8"/>
    <w:rsid w:val="00EE3F1A"/>
    <w:rsid w:val="00EE5C2C"/>
    <w:rsid w:val="00EE7B4B"/>
    <w:rsid w:val="00EF2116"/>
    <w:rsid w:val="00EF2B0D"/>
    <w:rsid w:val="00EF31A5"/>
    <w:rsid w:val="00EF4F44"/>
    <w:rsid w:val="00EF553E"/>
    <w:rsid w:val="00EF5FD4"/>
    <w:rsid w:val="00EF6EE3"/>
    <w:rsid w:val="00EF7445"/>
    <w:rsid w:val="00F001A6"/>
    <w:rsid w:val="00F00758"/>
    <w:rsid w:val="00F00AEF"/>
    <w:rsid w:val="00F00CD4"/>
    <w:rsid w:val="00F00D71"/>
    <w:rsid w:val="00F0183B"/>
    <w:rsid w:val="00F0252E"/>
    <w:rsid w:val="00F02807"/>
    <w:rsid w:val="00F02A68"/>
    <w:rsid w:val="00F03219"/>
    <w:rsid w:val="00F03E42"/>
    <w:rsid w:val="00F06234"/>
    <w:rsid w:val="00F06823"/>
    <w:rsid w:val="00F10174"/>
    <w:rsid w:val="00F12A55"/>
    <w:rsid w:val="00F12B4C"/>
    <w:rsid w:val="00F12EDB"/>
    <w:rsid w:val="00F136DC"/>
    <w:rsid w:val="00F13E9D"/>
    <w:rsid w:val="00F144B3"/>
    <w:rsid w:val="00F15298"/>
    <w:rsid w:val="00F16686"/>
    <w:rsid w:val="00F17C08"/>
    <w:rsid w:val="00F2171C"/>
    <w:rsid w:val="00F21A91"/>
    <w:rsid w:val="00F23497"/>
    <w:rsid w:val="00F236C3"/>
    <w:rsid w:val="00F23AA1"/>
    <w:rsid w:val="00F241C2"/>
    <w:rsid w:val="00F25AF3"/>
    <w:rsid w:val="00F25D43"/>
    <w:rsid w:val="00F26694"/>
    <w:rsid w:val="00F26EEE"/>
    <w:rsid w:val="00F3213F"/>
    <w:rsid w:val="00F32D44"/>
    <w:rsid w:val="00F33052"/>
    <w:rsid w:val="00F34DDA"/>
    <w:rsid w:val="00F35703"/>
    <w:rsid w:val="00F3665E"/>
    <w:rsid w:val="00F3751E"/>
    <w:rsid w:val="00F37584"/>
    <w:rsid w:val="00F4036E"/>
    <w:rsid w:val="00F40F30"/>
    <w:rsid w:val="00F42357"/>
    <w:rsid w:val="00F42680"/>
    <w:rsid w:val="00F42ACE"/>
    <w:rsid w:val="00F4410C"/>
    <w:rsid w:val="00F44B3A"/>
    <w:rsid w:val="00F44B99"/>
    <w:rsid w:val="00F45E6B"/>
    <w:rsid w:val="00F45FA0"/>
    <w:rsid w:val="00F46D30"/>
    <w:rsid w:val="00F470F7"/>
    <w:rsid w:val="00F502BD"/>
    <w:rsid w:val="00F50CF0"/>
    <w:rsid w:val="00F52237"/>
    <w:rsid w:val="00F526A4"/>
    <w:rsid w:val="00F53238"/>
    <w:rsid w:val="00F536A3"/>
    <w:rsid w:val="00F548B1"/>
    <w:rsid w:val="00F54B2F"/>
    <w:rsid w:val="00F55A54"/>
    <w:rsid w:val="00F5624F"/>
    <w:rsid w:val="00F56953"/>
    <w:rsid w:val="00F56FDF"/>
    <w:rsid w:val="00F570FC"/>
    <w:rsid w:val="00F57126"/>
    <w:rsid w:val="00F604C5"/>
    <w:rsid w:val="00F60D63"/>
    <w:rsid w:val="00F62785"/>
    <w:rsid w:val="00F62EDC"/>
    <w:rsid w:val="00F654E1"/>
    <w:rsid w:val="00F65CF9"/>
    <w:rsid w:val="00F66BAE"/>
    <w:rsid w:val="00F66D01"/>
    <w:rsid w:val="00F719F3"/>
    <w:rsid w:val="00F7232D"/>
    <w:rsid w:val="00F725B0"/>
    <w:rsid w:val="00F727D6"/>
    <w:rsid w:val="00F750B2"/>
    <w:rsid w:val="00F758C2"/>
    <w:rsid w:val="00F80D6A"/>
    <w:rsid w:val="00F814A9"/>
    <w:rsid w:val="00F83016"/>
    <w:rsid w:val="00F8325D"/>
    <w:rsid w:val="00F84ACF"/>
    <w:rsid w:val="00F86223"/>
    <w:rsid w:val="00F86D11"/>
    <w:rsid w:val="00F87941"/>
    <w:rsid w:val="00F90481"/>
    <w:rsid w:val="00F90A5B"/>
    <w:rsid w:val="00F90C79"/>
    <w:rsid w:val="00F916DE"/>
    <w:rsid w:val="00F91B4D"/>
    <w:rsid w:val="00F934DA"/>
    <w:rsid w:val="00F939DA"/>
    <w:rsid w:val="00F945F3"/>
    <w:rsid w:val="00F948D3"/>
    <w:rsid w:val="00F94B00"/>
    <w:rsid w:val="00F955E7"/>
    <w:rsid w:val="00F959AE"/>
    <w:rsid w:val="00F961F0"/>
    <w:rsid w:val="00F96415"/>
    <w:rsid w:val="00F96D6B"/>
    <w:rsid w:val="00F97103"/>
    <w:rsid w:val="00F97823"/>
    <w:rsid w:val="00F97A96"/>
    <w:rsid w:val="00FA119E"/>
    <w:rsid w:val="00FA12A3"/>
    <w:rsid w:val="00FA1F2E"/>
    <w:rsid w:val="00FA21A2"/>
    <w:rsid w:val="00FA2B12"/>
    <w:rsid w:val="00FA37A5"/>
    <w:rsid w:val="00FA5107"/>
    <w:rsid w:val="00FA68A7"/>
    <w:rsid w:val="00FA7587"/>
    <w:rsid w:val="00FB1F5B"/>
    <w:rsid w:val="00FB23BC"/>
    <w:rsid w:val="00FB27F3"/>
    <w:rsid w:val="00FB386E"/>
    <w:rsid w:val="00FB3993"/>
    <w:rsid w:val="00FB3C94"/>
    <w:rsid w:val="00FB3FDE"/>
    <w:rsid w:val="00FB424D"/>
    <w:rsid w:val="00FB4CD0"/>
    <w:rsid w:val="00FB52A2"/>
    <w:rsid w:val="00FB53B1"/>
    <w:rsid w:val="00FB6B96"/>
    <w:rsid w:val="00FC0917"/>
    <w:rsid w:val="00FC122B"/>
    <w:rsid w:val="00FC309E"/>
    <w:rsid w:val="00FC3A77"/>
    <w:rsid w:val="00FC3C62"/>
    <w:rsid w:val="00FC401A"/>
    <w:rsid w:val="00FC4B5A"/>
    <w:rsid w:val="00FC5AE5"/>
    <w:rsid w:val="00FC5AFC"/>
    <w:rsid w:val="00FC6EE7"/>
    <w:rsid w:val="00FD19C1"/>
    <w:rsid w:val="00FD4261"/>
    <w:rsid w:val="00FD4550"/>
    <w:rsid w:val="00FD5918"/>
    <w:rsid w:val="00FD60CC"/>
    <w:rsid w:val="00FD6171"/>
    <w:rsid w:val="00FE0287"/>
    <w:rsid w:val="00FE0DB3"/>
    <w:rsid w:val="00FE3EC2"/>
    <w:rsid w:val="00FE44D7"/>
    <w:rsid w:val="00FE587B"/>
    <w:rsid w:val="00FE6E2E"/>
    <w:rsid w:val="00FE74BB"/>
    <w:rsid w:val="00FF0509"/>
    <w:rsid w:val="00FF094D"/>
    <w:rsid w:val="00FF276F"/>
    <w:rsid w:val="00FF3289"/>
    <w:rsid w:val="00FF3CC3"/>
    <w:rsid w:val="00FF4365"/>
    <w:rsid w:val="00FF4A8A"/>
    <w:rsid w:val="00FF564E"/>
    <w:rsid w:val="00FF57D0"/>
    <w:rsid w:val="00FF59D7"/>
    <w:rsid w:val="00FF5DB1"/>
    <w:rsid w:val="00FF5DDE"/>
    <w:rsid w:val="00FF6215"/>
    <w:rsid w:val="00FF6D6F"/>
    <w:rsid w:val="00FF6E29"/>
    <w:rsid w:val="00FF769D"/>
    <w:rsid w:val="00FF7FAF"/>
    <w:rsid w:val="01AD2363"/>
    <w:rsid w:val="01E7B1A2"/>
    <w:rsid w:val="021D6073"/>
    <w:rsid w:val="028FAD64"/>
    <w:rsid w:val="02A03B58"/>
    <w:rsid w:val="02DD771F"/>
    <w:rsid w:val="0323F4D5"/>
    <w:rsid w:val="0337AABB"/>
    <w:rsid w:val="03403E53"/>
    <w:rsid w:val="03EFF082"/>
    <w:rsid w:val="04263DB3"/>
    <w:rsid w:val="0454E1FA"/>
    <w:rsid w:val="04596348"/>
    <w:rsid w:val="046BCE34"/>
    <w:rsid w:val="04AE52AE"/>
    <w:rsid w:val="04B913D8"/>
    <w:rsid w:val="04CE3E6A"/>
    <w:rsid w:val="0502F8D3"/>
    <w:rsid w:val="050A6452"/>
    <w:rsid w:val="05561A61"/>
    <w:rsid w:val="05693A6A"/>
    <w:rsid w:val="059B217E"/>
    <w:rsid w:val="05A14E0C"/>
    <w:rsid w:val="05B15EFB"/>
    <w:rsid w:val="05F5CB2C"/>
    <w:rsid w:val="061759BF"/>
    <w:rsid w:val="062696FB"/>
    <w:rsid w:val="063D7AC4"/>
    <w:rsid w:val="0648B521"/>
    <w:rsid w:val="06954449"/>
    <w:rsid w:val="06C27252"/>
    <w:rsid w:val="07722BA7"/>
    <w:rsid w:val="0772CDE7"/>
    <w:rsid w:val="078997AA"/>
    <w:rsid w:val="079639F8"/>
    <w:rsid w:val="07A96865"/>
    <w:rsid w:val="07D28D5C"/>
    <w:rsid w:val="07E48582"/>
    <w:rsid w:val="080AF413"/>
    <w:rsid w:val="080EA10B"/>
    <w:rsid w:val="087296AD"/>
    <w:rsid w:val="089D489D"/>
    <w:rsid w:val="08B89831"/>
    <w:rsid w:val="08BA1701"/>
    <w:rsid w:val="0903BF17"/>
    <w:rsid w:val="090DC853"/>
    <w:rsid w:val="096E9975"/>
    <w:rsid w:val="09B84125"/>
    <w:rsid w:val="09E47E52"/>
    <w:rsid w:val="0A0A0007"/>
    <w:rsid w:val="0A1F4F24"/>
    <w:rsid w:val="0A5E79A0"/>
    <w:rsid w:val="0A94B183"/>
    <w:rsid w:val="0A9C1EFD"/>
    <w:rsid w:val="0AA9C090"/>
    <w:rsid w:val="0B1C2644"/>
    <w:rsid w:val="0B2DEDFC"/>
    <w:rsid w:val="0B3E7FE5"/>
    <w:rsid w:val="0B69421E"/>
    <w:rsid w:val="0B70FAB6"/>
    <w:rsid w:val="0BDFE63D"/>
    <w:rsid w:val="0C0B2B0F"/>
    <w:rsid w:val="0C229B9D"/>
    <w:rsid w:val="0C389791"/>
    <w:rsid w:val="0C847F2B"/>
    <w:rsid w:val="0CA25C34"/>
    <w:rsid w:val="0CBFD78B"/>
    <w:rsid w:val="0CC3B023"/>
    <w:rsid w:val="0CCBB0BE"/>
    <w:rsid w:val="0CCF5699"/>
    <w:rsid w:val="0CF14752"/>
    <w:rsid w:val="0D21AE41"/>
    <w:rsid w:val="0D43D73C"/>
    <w:rsid w:val="0D4845F1"/>
    <w:rsid w:val="0D573FC1"/>
    <w:rsid w:val="0D6105A2"/>
    <w:rsid w:val="0DD02E24"/>
    <w:rsid w:val="0E18D5CD"/>
    <w:rsid w:val="0E6073EB"/>
    <w:rsid w:val="0E710D71"/>
    <w:rsid w:val="0E8BA66B"/>
    <w:rsid w:val="0ECA26DB"/>
    <w:rsid w:val="0ED478B5"/>
    <w:rsid w:val="0ED74CCD"/>
    <w:rsid w:val="0F16D1BE"/>
    <w:rsid w:val="0F34693C"/>
    <w:rsid w:val="0FB06F64"/>
    <w:rsid w:val="0FCA6480"/>
    <w:rsid w:val="103ABB38"/>
    <w:rsid w:val="103FF0A1"/>
    <w:rsid w:val="10607955"/>
    <w:rsid w:val="108054A3"/>
    <w:rsid w:val="10B2D4D3"/>
    <w:rsid w:val="10DFB529"/>
    <w:rsid w:val="10EC0E90"/>
    <w:rsid w:val="1183876B"/>
    <w:rsid w:val="11B4D7E8"/>
    <w:rsid w:val="11DCDAC5"/>
    <w:rsid w:val="12D7284D"/>
    <w:rsid w:val="130D023B"/>
    <w:rsid w:val="135553B2"/>
    <w:rsid w:val="136644BF"/>
    <w:rsid w:val="1375D9C6"/>
    <w:rsid w:val="13A74278"/>
    <w:rsid w:val="13BB36EA"/>
    <w:rsid w:val="13CF9EDB"/>
    <w:rsid w:val="13D0DB32"/>
    <w:rsid w:val="141E2515"/>
    <w:rsid w:val="14A8442A"/>
    <w:rsid w:val="14C1C0A2"/>
    <w:rsid w:val="14C40BD7"/>
    <w:rsid w:val="14EBBD16"/>
    <w:rsid w:val="15084E6E"/>
    <w:rsid w:val="1526B960"/>
    <w:rsid w:val="159C6182"/>
    <w:rsid w:val="15C2B18B"/>
    <w:rsid w:val="1659622F"/>
    <w:rsid w:val="16729D3F"/>
    <w:rsid w:val="1688F2F8"/>
    <w:rsid w:val="16A13A7A"/>
    <w:rsid w:val="16B84424"/>
    <w:rsid w:val="16BAA111"/>
    <w:rsid w:val="17504CBD"/>
    <w:rsid w:val="17D2C55D"/>
    <w:rsid w:val="182BF2AB"/>
    <w:rsid w:val="18619168"/>
    <w:rsid w:val="18777672"/>
    <w:rsid w:val="190B2119"/>
    <w:rsid w:val="1924E82F"/>
    <w:rsid w:val="19BD4742"/>
    <w:rsid w:val="1A4D7668"/>
    <w:rsid w:val="1A6892EE"/>
    <w:rsid w:val="1A711443"/>
    <w:rsid w:val="1A8C6160"/>
    <w:rsid w:val="1AC0FE97"/>
    <w:rsid w:val="1ACF0326"/>
    <w:rsid w:val="1B48DD33"/>
    <w:rsid w:val="1B55E311"/>
    <w:rsid w:val="1B97A54D"/>
    <w:rsid w:val="1B9C8903"/>
    <w:rsid w:val="1BBAF07B"/>
    <w:rsid w:val="1BC6C284"/>
    <w:rsid w:val="1BD59067"/>
    <w:rsid w:val="1C0319E9"/>
    <w:rsid w:val="1C0EF241"/>
    <w:rsid w:val="1C179972"/>
    <w:rsid w:val="1C6D551F"/>
    <w:rsid w:val="1C879BA2"/>
    <w:rsid w:val="1C9BA5D9"/>
    <w:rsid w:val="1CCACD98"/>
    <w:rsid w:val="1D0D8D67"/>
    <w:rsid w:val="1D28AB8F"/>
    <w:rsid w:val="1D60AE5D"/>
    <w:rsid w:val="1D7A7D18"/>
    <w:rsid w:val="1DC98890"/>
    <w:rsid w:val="1DE0946A"/>
    <w:rsid w:val="1E01BEC4"/>
    <w:rsid w:val="1E3260B8"/>
    <w:rsid w:val="1EBE0354"/>
    <w:rsid w:val="1EDDE8F1"/>
    <w:rsid w:val="1F0E70BC"/>
    <w:rsid w:val="1FBE55FE"/>
    <w:rsid w:val="1FE4F5C2"/>
    <w:rsid w:val="20026E5A"/>
    <w:rsid w:val="200500B3"/>
    <w:rsid w:val="201056DB"/>
    <w:rsid w:val="204CA86A"/>
    <w:rsid w:val="2096D365"/>
    <w:rsid w:val="20DD627F"/>
    <w:rsid w:val="20E1CFFC"/>
    <w:rsid w:val="2126D56C"/>
    <w:rsid w:val="2129F0E0"/>
    <w:rsid w:val="214B3475"/>
    <w:rsid w:val="21E503ED"/>
    <w:rsid w:val="21F0FDBD"/>
    <w:rsid w:val="2229DFDE"/>
    <w:rsid w:val="22BBF9D2"/>
    <w:rsid w:val="22C0895C"/>
    <w:rsid w:val="22C65E52"/>
    <w:rsid w:val="23132BA4"/>
    <w:rsid w:val="238AC93C"/>
    <w:rsid w:val="23F4FAEA"/>
    <w:rsid w:val="24060F61"/>
    <w:rsid w:val="2419362B"/>
    <w:rsid w:val="244313DD"/>
    <w:rsid w:val="2453F8B7"/>
    <w:rsid w:val="24546A0C"/>
    <w:rsid w:val="2569DE62"/>
    <w:rsid w:val="25EBA64F"/>
    <w:rsid w:val="2631F0D2"/>
    <w:rsid w:val="271F8B8E"/>
    <w:rsid w:val="272E77D2"/>
    <w:rsid w:val="276E8450"/>
    <w:rsid w:val="276FF43F"/>
    <w:rsid w:val="277EEBE6"/>
    <w:rsid w:val="27C42D3F"/>
    <w:rsid w:val="27C7897B"/>
    <w:rsid w:val="28ADE4E6"/>
    <w:rsid w:val="293260B8"/>
    <w:rsid w:val="29AFA512"/>
    <w:rsid w:val="29B166E6"/>
    <w:rsid w:val="29E31C0C"/>
    <w:rsid w:val="29FFF1A5"/>
    <w:rsid w:val="2A485F80"/>
    <w:rsid w:val="2A96A539"/>
    <w:rsid w:val="2AA000F1"/>
    <w:rsid w:val="2B162AC2"/>
    <w:rsid w:val="2B39AA86"/>
    <w:rsid w:val="2B4465ED"/>
    <w:rsid w:val="2B92C75A"/>
    <w:rsid w:val="2BAF82FC"/>
    <w:rsid w:val="2C1A0ED0"/>
    <w:rsid w:val="2C1B386A"/>
    <w:rsid w:val="2C218585"/>
    <w:rsid w:val="2C53A985"/>
    <w:rsid w:val="2C580814"/>
    <w:rsid w:val="2C600D23"/>
    <w:rsid w:val="2C6CC6BB"/>
    <w:rsid w:val="2CC85D85"/>
    <w:rsid w:val="2CDDF8AB"/>
    <w:rsid w:val="2D619088"/>
    <w:rsid w:val="2DACE72A"/>
    <w:rsid w:val="2E3DF2C8"/>
    <w:rsid w:val="2E656CEB"/>
    <w:rsid w:val="2EFF8F98"/>
    <w:rsid w:val="2F2731B6"/>
    <w:rsid w:val="2F2B7F4A"/>
    <w:rsid w:val="2F482059"/>
    <w:rsid w:val="2F842212"/>
    <w:rsid w:val="3030AB42"/>
    <w:rsid w:val="30B085D1"/>
    <w:rsid w:val="30D12D5A"/>
    <w:rsid w:val="30D39A36"/>
    <w:rsid w:val="31B361BC"/>
    <w:rsid w:val="31B3E9CA"/>
    <w:rsid w:val="31C6B240"/>
    <w:rsid w:val="328E5193"/>
    <w:rsid w:val="32BB26F5"/>
    <w:rsid w:val="330ECD6C"/>
    <w:rsid w:val="330FF620"/>
    <w:rsid w:val="332B4E44"/>
    <w:rsid w:val="335D3285"/>
    <w:rsid w:val="33C5538F"/>
    <w:rsid w:val="342E0343"/>
    <w:rsid w:val="343DF654"/>
    <w:rsid w:val="34E30877"/>
    <w:rsid w:val="350DDD53"/>
    <w:rsid w:val="3590AFF9"/>
    <w:rsid w:val="35C7C181"/>
    <w:rsid w:val="362FD86A"/>
    <w:rsid w:val="36573387"/>
    <w:rsid w:val="3668E09A"/>
    <w:rsid w:val="366AB09C"/>
    <w:rsid w:val="368C6634"/>
    <w:rsid w:val="36C44A5F"/>
    <w:rsid w:val="36DEA5BC"/>
    <w:rsid w:val="3746F81E"/>
    <w:rsid w:val="376DA89B"/>
    <w:rsid w:val="37C25D95"/>
    <w:rsid w:val="3849FC1A"/>
    <w:rsid w:val="387AB044"/>
    <w:rsid w:val="3882DF86"/>
    <w:rsid w:val="3902EBD6"/>
    <w:rsid w:val="39283004"/>
    <w:rsid w:val="39D31BBC"/>
    <w:rsid w:val="39FAD67A"/>
    <w:rsid w:val="3A341E3A"/>
    <w:rsid w:val="3A7068AF"/>
    <w:rsid w:val="3A72898E"/>
    <w:rsid w:val="3A8FE40A"/>
    <w:rsid w:val="3A97BAFE"/>
    <w:rsid w:val="3AA5495D"/>
    <w:rsid w:val="3ACDD23F"/>
    <w:rsid w:val="3ADDE72B"/>
    <w:rsid w:val="3AE16604"/>
    <w:rsid w:val="3AFF7F01"/>
    <w:rsid w:val="3B13854D"/>
    <w:rsid w:val="3B6D09CB"/>
    <w:rsid w:val="3B79C412"/>
    <w:rsid w:val="3B8C7B42"/>
    <w:rsid w:val="3BCFEE9B"/>
    <w:rsid w:val="3BD4A979"/>
    <w:rsid w:val="3BF99237"/>
    <w:rsid w:val="3C26B846"/>
    <w:rsid w:val="3C3D9C27"/>
    <w:rsid w:val="3C3F657B"/>
    <w:rsid w:val="3C54576B"/>
    <w:rsid w:val="3C5FD0C6"/>
    <w:rsid w:val="3C872D2F"/>
    <w:rsid w:val="3C93DDF2"/>
    <w:rsid w:val="3C95EDC9"/>
    <w:rsid w:val="3D89C722"/>
    <w:rsid w:val="3D9D98B7"/>
    <w:rsid w:val="3DE305E0"/>
    <w:rsid w:val="3E025FAB"/>
    <w:rsid w:val="3E0E0AEE"/>
    <w:rsid w:val="3E5154E0"/>
    <w:rsid w:val="3EF614AC"/>
    <w:rsid w:val="3F044184"/>
    <w:rsid w:val="3F6ED8F0"/>
    <w:rsid w:val="3F95CFCF"/>
    <w:rsid w:val="3FA26EB0"/>
    <w:rsid w:val="40143846"/>
    <w:rsid w:val="4023014C"/>
    <w:rsid w:val="4023687B"/>
    <w:rsid w:val="4032F684"/>
    <w:rsid w:val="415E4349"/>
    <w:rsid w:val="417BC537"/>
    <w:rsid w:val="418FA4F8"/>
    <w:rsid w:val="419FB9C3"/>
    <w:rsid w:val="4225C875"/>
    <w:rsid w:val="4279BC37"/>
    <w:rsid w:val="42C8623B"/>
    <w:rsid w:val="42E3E62A"/>
    <w:rsid w:val="431C4048"/>
    <w:rsid w:val="43830852"/>
    <w:rsid w:val="439C1E2B"/>
    <w:rsid w:val="43AF4983"/>
    <w:rsid w:val="43C03B1B"/>
    <w:rsid w:val="4458DFA5"/>
    <w:rsid w:val="44744135"/>
    <w:rsid w:val="447AC09C"/>
    <w:rsid w:val="4481A666"/>
    <w:rsid w:val="4507E66A"/>
    <w:rsid w:val="45435AC2"/>
    <w:rsid w:val="45484BF5"/>
    <w:rsid w:val="45BD8852"/>
    <w:rsid w:val="461AEECC"/>
    <w:rsid w:val="46C519C2"/>
    <w:rsid w:val="473C58D1"/>
    <w:rsid w:val="477C935A"/>
    <w:rsid w:val="47D6879B"/>
    <w:rsid w:val="4818D8CE"/>
    <w:rsid w:val="486AB3B3"/>
    <w:rsid w:val="486E00EB"/>
    <w:rsid w:val="48A64152"/>
    <w:rsid w:val="49A34F75"/>
    <w:rsid w:val="4A1F7DD4"/>
    <w:rsid w:val="4A32FB1F"/>
    <w:rsid w:val="4A379549"/>
    <w:rsid w:val="4A55AFE2"/>
    <w:rsid w:val="4A788C4F"/>
    <w:rsid w:val="4AA87F61"/>
    <w:rsid w:val="4AE78F42"/>
    <w:rsid w:val="4AF34999"/>
    <w:rsid w:val="4AFC34EA"/>
    <w:rsid w:val="4B5E56BE"/>
    <w:rsid w:val="4B7F051D"/>
    <w:rsid w:val="4B9607BD"/>
    <w:rsid w:val="4BBC693F"/>
    <w:rsid w:val="4C2BC3F0"/>
    <w:rsid w:val="4CC06C31"/>
    <w:rsid w:val="4CC9FB47"/>
    <w:rsid w:val="4CDB0102"/>
    <w:rsid w:val="4D151CC5"/>
    <w:rsid w:val="4D3A3B1D"/>
    <w:rsid w:val="4E36A387"/>
    <w:rsid w:val="4E5504BF"/>
    <w:rsid w:val="4E980F50"/>
    <w:rsid w:val="4EA23897"/>
    <w:rsid w:val="4EBB1E77"/>
    <w:rsid w:val="4F0318C8"/>
    <w:rsid w:val="4F0587E4"/>
    <w:rsid w:val="4F31D9A7"/>
    <w:rsid w:val="4F8DB241"/>
    <w:rsid w:val="4FFCC4BE"/>
    <w:rsid w:val="500577C9"/>
    <w:rsid w:val="500880F9"/>
    <w:rsid w:val="5009081C"/>
    <w:rsid w:val="501014EF"/>
    <w:rsid w:val="5010992D"/>
    <w:rsid w:val="5057DA4B"/>
    <w:rsid w:val="50882FE8"/>
    <w:rsid w:val="509A09F7"/>
    <w:rsid w:val="50B68B6F"/>
    <w:rsid w:val="512FF124"/>
    <w:rsid w:val="514861D8"/>
    <w:rsid w:val="5150E43A"/>
    <w:rsid w:val="51DD1E6E"/>
    <w:rsid w:val="5213D30E"/>
    <w:rsid w:val="521B0080"/>
    <w:rsid w:val="522F591A"/>
    <w:rsid w:val="5247F4CA"/>
    <w:rsid w:val="526DBE91"/>
    <w:rsid w:val="52A4D970"/>
    <w:rsid w:val="52AA09D8"/>
    <w:rsid w:val="52AEA7EA"/>
    <w:rsid w:val="52CE7623"/>
    <w:rsid w:val="530F727B"/>
    <w:rsid w:val="5337F217"/>
    <w:rsid w:val="5339456B"/>
    <w:rsid w:val="5354FB16"/>
    <w:rsid w:val="536096FA"/>
    <w:rsid w:val="536CB1C3"/>
    <w:rsid w:val="53AF1539"/>
    <w:rsid w:val="53B69AE9"/>
    <w:rsid w:val="53CD03EF"/>
    <w:rsid w:val="53E52B3D"/>
    <w:rsid w:val="542EC2D3"/>
    <w:rsid w:val="54314160"/>
    <w:rsid w:val="5436826A"/>
    <w:rsid w:val="54D3F8CB"/>
    <w:rsid w:val="5523C1A6"/>
    <w:rsid w:val="552B02DB"/>
    <w:rsid w:val="553CEA03"/>
    <w:rsid w:val="557B49B3"/>
    <w:rsid w:val="559A0DB6"/>
    <w:rsid w:val="55DFB5D4"/>
    <w:rsid w:val="55F415E2"/>
    <w:rsid w:val="5603C3F5"/>
    <w:rsid w:val="563282DD"/>
    <w:rsid w:val="573B672A"/>
    <w:rsid w:val="57B55C36"/>
    <w:rsid w:val="58227281"/>
    <w:rsid w:val="58488054"/>
    <w:rsid w:val="5848CF34"/>
    <w:rsid w:val="5848D2F8"/>
    <w:rsid w:val="586D0B08"/>
    <w:rsid w:val="5873CCAF"/>
    <w:rsid w:val="5882A0A5"/>
    <w:rsid w:val="58902A9D"/>
    <w:rsid w:val="58B47D7C"/>
    <w:rsid w:val="58C67386"/>
    <w:rsid w:val="59051975"/>
    <w:rsid w:val="5915102A"/>
    <w:rsid w:val="593AD934"/>
    <w:rsid w:val="59611A8D"/>
    <w:rsid w:val="5990CFA9"/>
    <w:rsid w:val="59B7BAD3"/>
    <w:rsid w:val="59CB7ECA"/>
    <w:rsid w:val="5A16D4BD"/>
    <w:rsid w:val="5AB8037B"/>
    <w:rsid w:val="5AE01B0D"/>
    <w:rsid w:val="5AE60BE8"/>
    <w:rsid w:val="5B207A96"/>
    <w:rsid w:val="5BA76327"/>
    <w:rsid w:val="5BC6EF16"/>
    <w:rsid w:val="5BDCC4CD"/>
    <w:rsid w:val="5CB88891"/>
    <w:rsid w:val="5CDAA625"/>
    <w:rsid w:val="5D1AF210"/>
    <w:rsid w:val="5D326F9C"/>
    <w:rsid w:val="5D806AD5"/>
    <w:rsid w:val="5D95B4D8"/>
    <w:rsid w:val="5DA32986"/>
    <w:rsid w:val="5DB4A869"/>
    <w:rsid w:val="5DF27FC0"/>
    <w:rsid w:val="5E10D492"/>
    <w:rsid w:val="5E1C418E"/>
    <w:rsid w:val="5E79F2A7"/>
    <w:rsid w:val="5E8E1349"/>
    <w:rsid w:val="5E8E31B4"/>
    <w:rsid w:val="5F0A70D7"/>
    <w:rsid w:val="5FCDFAD3"/>
    <w:rsid w:val="5FDC0E7C"/>
    <w:rsid w:val="605392AD"/>
    <w:rsid w:val="6060B3F1"/>
    <w:rsid w:val="60AFC15A"/>
    <w:rsid w:val="60F129F4"/>
    <w:rsid w:val="61269891"/>
    <w:rsid w:val="6130A845"/>
    <w:rsid w:val="613D2428"/>
    <w:rsid w:val="614F3E52"/>
    <w:rsid w:val="61726D30"/>
    <w:rsid w:val="6192B7FF"/>
    <w:rsid w:val="61CECD34"/>
    <w:rsid w:val="62204D63"/>
    <w:rsid w:val="62421199"/>
    <w:rsid w:val="629A2644"/>
    <w:rsid w:val="62B1AAB6"/>
    <w:rsid w:val="62C93F9A"/>
    <w:rsid w:val="62E8D344"/>
    <w:rsid w:val="631D5E47"/>
    <w:rsid w:val="639E3A4D"/>
    <w:rsid w:val="64430DE8"/>
    <w:rsid w:val="647F4892"/>
    <w:rsid w:val="64AB005F"/>
    <w:rsid w:val="64DCA1FC"/>
    <w:rsid w:val="656EF165"/>
    <w:rsid w:val="65A99DD9"/>
    <w:rsid w:val="65B28695"/>
    <w:rsid w:val="65B9E00D"/>
    <w:rsid w:val="65EBB49C"/>
    <w:rsid w:val="66398782"/>
    <w:rsid w:val="66771D39"/>
    <w:rsid w:val="669BA56A"/>
    <w:rsid w:val="669E7F39"/>
    <w:rsid w:val="675E1197"/>
    <w:rsid w:val="67662F9C"/>
    <w:rsid w:val="676C62BF"/>
    <w:rsid w:val="67E82FCC"/>
    <w:rsid w:val="680266B3"/>
    <w:rsid w:val="68136131"/>
    <w:rsid w:val="682205A6"/>
    <w:rsid w:val="689C60EA"/>
    <w:rsid w:val="68AE39AC"/>
    <w:rsid w:val="68B588C0"/>
    <w:rsid w:val="691CE9A8"/>
    <w:rsid w:val="691FCD86"/>
    <w:rsid w:val="698D8543"/>
    <w:rsid w:val="698EC207"/>
    <w:rsid w:val="69BB83B7"/>
    <w:rsid w:val="69CBA83C"/>
    <w:rsid w:val="69D92908"/>
    <w:rsid w:val="6A297AAD"/>
    <w:rsid w:val="6A3F19C0"/>
    <w:rsid w:val="6A48BF0F"/>
    <w:rsid w:val="6A4D9E19"/>
    <w:rsid w:val="6AE65EB8"/>
    <w:rsid w:val="6B08485D"/>
    <w:rsid w:val="6B16049C"/>
    <w:rsid w:val="6B28092B"/>
    <w:rsid w:val="6B3600E4"/>
    <w:rsid w:val="6B4382FA"/>
    <w:rsid w:val="6B57C5F1"/>
    <w:rsid w:val="6B75AF7A"/>
    <w:rsid w:val="6BCF5C2F"/>
    <w:rsid w:val="6BF45623"/>
    <w:rsid w:val="6C50F46C"/>
    <w:rsid w:val="6C80E37B"/>
    <w:rsid w:val="6C83A2AF"/>
    <w:rsid w:val="6C88D805"/>
    <w:rsid w:val="6C8B02BF"/>
    <w:rsid w:val="6C92647B"/>
    <w:rsid w:val="6CADF130"/>
    <w:rsid w:val="6D1EC04A"/>
    <w:rsid w:val="6D4CB8F7"/>
    <w:rsid w:val="6D7BC87F"/>
    <w:rsid w:val="6D84C440"/>
    <w:rsid w:val="6DDAF606"/>
    <w:rsid w:val="6DF1693C"/>
    <w:rsid w:val="6E0D027B"/>
    <w:rsid w:val="6E3084F2"/>
    <w:rsid w:val="6E59D3EA"/>
    <w:rsid w:val="6E5CB68F"/>
    <w:rsid w:val="6E5E17C7"/>
    <w:rsid w:val="6E7DA398"/>
    <w:rsid w:val="6F4D4441"/>
    <w:rsid w:val="6F669E10"/>
    <w:rsid w:val="7024E63B"/>
    <w:rsid w:val="702C0EE2"/>
    <w:rsid w:val="705242EC"/>
    <w:rsid w:val="7056F9FD"/>
    <w:rsid w:val="705A9721"/>
    <w:rsid w:val="706EE19B"/>
    <w:rsid w:val="70729E75"/>
    <w:rsid w:val="70794B40"/>
    <w:rsid w:val="712B9F66"/>
    <w:rsid w:val="713A8FEC"/>
    <w:rsid w:val="71772ED1"/>
    <w:rsid w:val="71AFE459"/>
    <w:rsid w:val="71D0D0BD"/>
    <w:rsid w:val="722C0B84"/>
    <w:rsid w:val="72583563"/>
    <w:rsid w:val="72BBBE26"/>
    <w:rsid w:val="72C560DF"/>
    <w:rsid w:val="72CCA8CC"/>
    <w:rsid w:val="72EC4D40"/>
    <w:rsid w:val="73851491"/>
    <w:rsid w:val="739D9583"/>
    <w:rsid w:val="73E70364"/>
    <w:rsid w:val="740B4827"/>
    <w:rsid w:val="7490FB63"/>
    <w:rsid w:val="74C6B2D4"/>
    <w:rsid w:val="7531FAFD"/>
    <w:rsid w:val="75CC2B37"/>
    <w:rsid w:val="75CCDA9A"/>
    <w:rsid w:val="76240475"/>
    <w:rsid w:val="768467A2"/>
    <w:rsid w:val="76AC19D8"/>
    <w:rsid w:val="76D1A5AF"/>
    <w:rsid w:val="76D727C0"/>
    <w:rsid w:val="77423EC5"/>
    <w:rsid w:val="7743393D"/>
    <w:rsid w:val="776454DF"/>
    <w:rsid w:val="7790BA8D"/>
    <w:rsid w:val="77AF5A60"/>
    <w:rsid w:val="7854855C"/>
    <w:rsid w:val="78C11FE2"/>
    <w:rsid w:val="7951F0AC"/>
    <w:rsid w:val="7986790D"/>
    <w:rsid w:val="79A2117D"/>
    <w:rsid w:val="79D27E6D"/>
    <w:rsid w:val="79F055BD"/>
    <w:rsid w:val="79F76966"/>
    <w:rsid w:val="7A34CBB3"/>
    <w:rsid w:val="7B13D8E4"/>
    <w:rsid w:val="7B35F458"/>
    <w:rsid w:val="7B747B99"/>
    <w:rsid w:val="7B76CF82"/>
    <w:rsid w:val="7BF538C9"/>
    <w:rsid w:val="7C5976E7"/>
    <w:rsid w:val="7DFBD17F"/>
    <w:rsid w:val="7E0FEAE1"/>
    <w:rsid w:val="7E2044B5"/>
    <w:rsid w:val="7E5F2E97"/>
    <w:rsid w:val="7E9EAEF6"/>
    <w:rsid w:val="7EF24901"/>
    <w:rsid w:val="7F0F08DB"/>
    <w:rsid w:val="7F495586"/>
    <w:rsid w:val="7F5354A0"/>
    <w:rsid w:val="7F5925E5"/>
    <w:rsid w:val="7F721FB9"/>
    <w:rsid w:val="7F85873C"/>
    <w:rsid w:val="7FAB0DE2"/>
    <w:rsid w:val="7FE6932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BBFB"/>
  <w14:defaultImageDpi w14:val="32767"/>
  <w15:chartTrackingRefBased/>
  <w15:docId w15:val="{71AF6ACB-72BB-4472-9E82-F55E9146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 w:type="character" w:styleId="Emphasis">
    <w:name w:val="Emphasis"/>
    <w:basedOn w:val="DefaultParagraphFont"/>
    <w:uiPriority w:val="20"/>
    <w:qFormat/>
    <w:rsid w:val="00EB71F3"/>
    <w:rPr>
      <w:i/>
      <w:iCs/>
    </w:rPr>
  </w:style>
  <w:style w:type="character" w:customStyle="1" w:styleId="rpl-text-label">
    <w:name w:val="rpl-text-label"/>
    <w:basedOn w:val="DefaultParagraphFont"/>
    <w:rsid w:val="00EB71F3"/>
  </w:style>
  <w:style w:type="paragraph" w:styleId="EndnoteText">
    <w:name w:val="endnote text"/>
    <w:basedOn w:val="Normal"/>
    <w:link w:val="EndnoteTextChar"/>
    <w:uiPriority w:val="99"/>
    <w:semiHidden/>
    <w:unhideWhenUsed/>
    <w:rsid w:val="00FC09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917"/>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FC0917"/>
    <w:rPr>
      <w:vertAlign w:val="superscript"/>
    </w:rPr>
  </w:style>
  <w:style w:type="paragraph" w:styleId="NoSpacing">
    <w:name w:val="No Spacing"/>
    <w:link w:val="NoSpacingChar"/>
    <w:uiPriority w:val="1"/>
    <w:qFormat/>
    <w:rsid w:val="001C3E6A"/>
    <w:rPr>
      <w:rFonts w:eastAsiaTheme="minorEastAsia"/>
      <w:sz w:val="22"/>
      <w:szCs w:val="22"/>
      <w:lang w:val="en-US"/>
    </w:rPr>
  </w:style>
  <w:style w:type="character" w:customStyle="1" w:styleId="NoSpacingChar">
    <w:name w:val="No Spacing Char"/>
    <w:basedOn w:val="DefaultParagraphFont"/>
    <w:link w:val="NoSpacing"/>
    <w:uiPriority w:val="1"/>
    <w:rsid w:val="001C3E6A"/>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3789">
      <w:bodyDiv w:val="1"/>
      <w:marLeft w:val="0"/>
      <w:marRight w:val="0"/>
      <w:marTop w:val="0"/>
      <w:marBottom w:val="0"/>
      <w:divBdr>
        <w:top w:val="none" w:sz="0" w:space="0" w:color="auto"/>
        <w:left w:val="none" w:sz="0" w:space="0" w:color="auto"/>
        <w:bottom w:val="none" w:sz="0" w:space="0" w:color="auto"/>
        <w:right w:val="none" w:sz="0" w:space="0" w:color="auto"/>
      </w:divBdr>
    </w:div>
    <w:div w:id="226917279">
      <w:bodyDiv w:val="1"/>
      <w:marLeft w:val="0"/>
      <w:marRight w:val="0"/>
      <w:marTop w:val="0"/>
      <w:marBottom w:val="0"/>
      <w:divBdr>
        <w:top w:val="none" w:sz="0" w:space="0" w:color="auto"/>
        <w:left w:val="none" w:sz="0" w:space="0" w:color="auto"/>
        <w:bottom w:val="none" w:sz="0" w:space="0" w:color="auto"/>
        <w:right w:val="none" w:sz="0" w:space="0" w:color="auto"/>
      </w:divBdr>
    </w:div>
    <w:div w:id="333387510">
      <w:bodyDiv w:val="1"/>
      <w:marLeft w:val="0"/>
      <w:marRight w:val="0"/>
      <w:marTop w:val="0"/>
      <w:marBottom w:val="0"/>
      <w:divBdr>
        <w:top w:val="none" w:sz="0" w:space="0" w:color="auto"/>
        <w:left w:val="none" w:sz="0" w:space="0" w:color="auto"/>
        <w:bottom w:val="none" w:sz="0" w:space="0" w:color="auto"/>
        <w:right w:val="none" w:sz="0" w:space="0" w:color="auto"/>
      </w:divBdr>
    </w:div>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7210049">
      <w:bodyDiv w:val="1"/>
      <w:marLeft w:val="0"/>
      <w:marRight w:val="0"/>
      <w:marTop w:val="0"/>
      <w:marBottom w:val="0"/>
      <w:divBdr>
        <w:top w:val="none" w:sz="0" w:space="0" w:color="auto"/>
        <w:left w:val="none" w:sz="0" w:space="0" w:color="auto"/>
        <w:bottom w:val="none" w:sz="0" w:space="0" w:color="auto"/>
        <w:right w:val="none" w:sz="0" w:space="0" w:color="auto"/>
      </w:divBdr>
    </w:div>
    <w:div w:id="557937337">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543635885">
      <w:bodyDiv w:val="1"/>
      <w:marLeft w:val="0"/>
      <w:marRight w:val="0"/>
      <w:marTop w:val="0"/>
      <w:marBottom w:val="0"/>
      <w:divBdr>
        <w:top w:val="none" w:sz="0" w:space="0" w:color="auto"/>
        <w:left w:val="none" w:sz="0" w:space="0" w:color="auto"/>
        <w:bottom w:val="none" w:sz="0" w:space="0" w:color="auto"/>
        <w:right w:val="none" w:sz="0" w:space="0" w:color="auto"/>
      </w:divBdr>
    </w:div>
    <w:div w:id="1630892649">
      <w:bodyDiv w:val="1"/>
      <w:marLeft w:val="0"/>
      <w:marRight w:val="0"/>
      <w:marTop w:val="0"/>
      <w:marBottom w:val="0"/>
      <w:divBdr>
        <w:top w:val="none" w:sz="0" w:space="0" w:color="auto"/>
        <w:left w:val="none" w:sz="0" w:space="0" w:color="auto"/>
        <w:bottom w:val="none" w:sz="0" w:space="0" w:color="auto"/>
        <w:right w:val="none" w:sz="0" w:space="0" w:color="auto"/>
      </w:divBdr>
    </w:div>
    <w:div w:id="1646160578">
      <w:bodyDiv w:val="1"/>
      <w:marLeft w:val="0"/>
      <w:marRight w:val="0"/>
      <w:marTop w:val="0"/>
      <w:marBottom w:val="0"/>
      <w:divBdr>
        <w:top w:val="none" w:sz="0" w:space="0" w:color="auto"/>
        <w:left w:val="none" w:sz="0" w:space="0" w:color="auto"/>
        <w:bottom w:val="none" w:sz="0" w:space="0" w:color="auto"/>
        <w:right w:val="none" w:sz="0" w:space="0" w:color="auto"/>
      </w:divBdr>
    </w:div>
    <w:div w:id="1682471848">
      <w:bodyDiv w:val="1"/>
      <w:marLeft w:val="0"/>
      <w:marRight w:val="0"/>
      <w:marTop w:val="0"/>
      <w:marBottom w:val="0"/>
      <w:divBdr>
        <w:top w:val="none" w:sz="0" w:space="0" w:color="auto"/>
        <w:left w:val="none" w:sz="0" w:space="0" w:color="auto"/>
        <w:bottom w:val="none" w:sz="0" w:space="0" w:color="auto"/>
        <w:right w:val="none" w:sz="0" w:space="0" w:color="auto"/>
      </w:divBdr>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improving-experiences-victim-survivors-family-law-system"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alaid.vic.gov.au/first-nations-led-solutions-vital-transformational-change-young-people" TargetMode="External"/><Relationship Id="rId17" Type="http://schemas.openxmlformats.org/officeDocument/2006/relationships/hyperlink" Target="https://www.legalaid.vic.gov.au/early-resolution-service-family-violence-matt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alaid.vic.gov.au/help-before-court-criminal-charg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Committees/Senate/Legal_and_Constitutional_Affairs/Incarceration4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alaid.vic.gov.au/upgrading-online-chat-provide-better-service-help-seekers?utm_source=LAB&amp;utm_medium=email&amp;utm_campaign=Upgrading+our+online+chat+to+provide+a+better+service+LAB"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legalaid.org/resources/national-legal-aid-statement-national-legal-aid-welcomes-announcement-of-additional-funding-for-legal-assistance-servic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8" ma:contentTypeDescription="Create a new document." ma:contentTypeScope="" ma:versionID="099f90012258fb280d1c4c743fb1f7f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bfe77011925267654221987c5dbc344b"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Gayathri Paramasivam</DisplayName>
        <AccountId>23</AccountId>
        <AccountType/>
      </UserInfo>
      <UserInfo>
        <DisplayName>Emma Hunt</DisplayName>
        <AccountId>45</AccountId>
        <AccountType/>
      </UserInfo>
      <UserInfo>
        <DisplayName>SharingLinks.a1be6307-1f2b-45e9-8272-4d9b45a3e6f7.Flexible.c9df7a21-cc0d-48c3-b5bf-39452bd07912</DisplayName>
        <AccountId>472</AccountId>
        <AccountType/>
      </UserInfo>
      <UserInfo>
        <DisplayName>Sarah Nieuwenhuysen</DisplayName>
        <AccountId>14</AccountId>
        <AccountType/>
      </UserInfo>
      <UserInfo>
        <DisplayName>SharingLinks.a9befbd5-8bbb-4ee2-b45f-70481a83538a.Flexible.80f09981-c93c-4f9f-a8fa-b77ce9786b4b</DisplayName>
        <AccountId>148</AccountId>
        <AccountType/>
      </UserInfo>
      <UserInfo>
        <DisplayName>Jenny Tam</DisplayName>
        <AccountId>343</AccountId>
        <AccountType/>
      </UserInfo>
      <UserInfo>
        <DisplayName>Office of the CEO Members</DisplayName>
        <AccountId>7</AccountId>
        <AccountType/>
      </UserInfo>
      <UserInfo>
        <DisplayName>Georgie Dwyer</DisplayName>
        <AccountId>21</AccountId>
        <AccountType/>
      </UserInfo>
      <UserInfo>
        <DisplayName>SharingLinks.36d3f424-5d87-4486-9839-afec24e5db55.Flexible.4a3297de-43ff-4fbf-97dd-39db48a327d5</DisplayName>
        <AccountId>130</AccountId>
        <AccountType/>
      </UserInfo>
      <UserInfo>
        <DisplayName>SharingLinks.e3738237-abde-4d56-a82f-a53e5d373688.Flexible.375fd841-061a-412c-8109-9637384c16e7</DisplayName>
        <AccountId>157</AccountId>
        <AccountType/>
      </UserInfo>
      <UserInfo>
        <DisplayName>Mahnoor Sikandar</DisplayName>
        <AccountId>317</AccountId>
        <AccountType/>
      </UserInfo>
      <UserInfo>
        <DisplayName>Daisy Smith</DisplayName>
        <AccountId>177</AccountId>
        <AccountType/>
      </UserInfo>
      <UserInfo>
        <DisplayName>SharingLinks.8108e108-d717-4ae5-bc87-8423f95641d7.Flexible.1b525bf5-079b-45e7-8ca2-793e83bdea1f</DisplayName>
        <AccountId>175</AccountId>
        <AccountType/>
      </UserInfo>
      <UserInfo>
        <DisplayName>SharingLinks.3861b5c2-1968-444d-9042-afe83d871b5a.Flexible.2c35ee99-92ed-432d-82c8-5b127c1c1df0</DisplayName>
        <AccountId>117</AccountId>
        <AccountType/>
      </UserInfo>
      <UserInfo>
        <DisplayName>Alex EdneyBrowne</DisplayName>
        <AccountId>320</AccountId>
        <AccountType/>
      </UserInfo>
      <UserInfo>
        <DisplayName>Louise Glanville</DisplayName>
        <AccountId>13</AccountId>
        <AccountType/>
      </UserInfo>
      <UserInfo>
        <DisplayName>Martha Arkalis</DisplayName>
        <AccountId>11</AccountId>
        <AccountType/>
      </UserInfo>
      <UserInfo>
        <DisplayName>Sonia Li</DisplayName>
        <AccountId>478</AccountId>
        <AccountType/>
      </UserInfo>
      <UserInfo>
        <DisplayName>Simon Ho</DisplayName>
        <AccountId>79</AccountId>
        <AccountType/>
      </UserInfo>
      <UserInfo>
        <DisplayName>Cameron Hume</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BA9C-8B92-4086-94D8-9FD22D101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D59C6-F897-4B36-AF31-D3D7D2CA7557}">
  <ds:schemaRefs>
    <ds:schemaRef ds:uri="http://schemas.microsoft.com/sharepoint/v3/contenttype/forms"/>
  </ds:schemaRefs>
</ds:datastoreItem>
</file>

<file path=customXml/itemProps3.xml><?xml version="1.0" encoding="utf-8"?>
<ds:datastoreItem xmlns:ds="http://schemas.openxmlformats.org/officeDocument/2006/customXml" ds:itemID="{96D329AF-D008-4FD5-8701-63DC375D9D26}">
  <ds:schemaRefs>
    <ds:schemaRef ds:uri="http://purl.org/dc/elements/1.1/"/>
    <ds:schemaRef ds:uri="68c7d542-4e7f-4a13-a678-0dc97ca94df5"/>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e90065c7-7f7f-4df0-a469-5749d80eada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9</TotalTime>
  <Pages>5</Pages>
  <Words>1626</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Victoria Legal Aid 2024–25 quarter one report </vt:lpstr>
    </vt:vector>
  </TitlesOfParts>
  <Company>Victoria Legal Aid</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2024–25 quarter one report </dc:title>
  <dc:subject/>
  <dc:creator>Victoria Legal Aid</dc:creator>
  <cp:keywords/>
  <dc:description/>
  <cp:lastPrinted>2023-01-04T18:40:00Z</cp:lastPrinted>
  <dcterms:created xsi:type="dcterms:W3CDTF">2024-11-25T11:33:00Z</dcterms:created>
  <dcterms:modified xsi:type="dcterms:W3CDTF">2024-11-27T23:54:00Z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0x01010034BBC6DB36EDF94C89C7B7A43F71F587</vt:lpwstr>
  </property>
  <property fmtid="{D5CDD505-2E9C-101B-9397-08002B2CF9AE}" pid="13" name="MediaServiceImageTags">
    <vt:lpwstr/>
  </property>
  <property fmtid="{D5CDD505-2E9C-101B-9397-08002B2CF9AE}" pid="14" name="GrammarlyDocumentId">
    <vt:lpwstr>23f53702b0380d61319b2d8d5f6e8a2ed8b494ee855c378d7d8e3b82c6cd3834</vt:lpwstr>
  </property>
</Properties>
</file>