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B90F" w14:textId="77777777" w:rsidR="008D7AAF" w:rsidRPr="008D7AAF" w:rsidRDefault="008D7AAF" w:rsidP="008D7AAF">
      <w:pPr>
        <w:pStyle w:val="Heading1"/>
        <w:rPr>
          <w:lang w:val="en-US"/>
        </w:rPr>
      </w:pPr>
      <w:r w:rsidRPr="008D7AAF">
        <w:rPr>
          <w:lang w:val="en-US"/>
        </w:rPr>
        <w:t xml:space="preserve">Gifts, </w:t>
      </w:r>
      <w:r>
        <w:rPr>
          <w:lang w:val="en-US"/>
        </w:rPr>
        <w:t>B</w:t>
      </w:r>
      <w:r w:rsidRPr="008D7AAF">
        <w:rPr>
          <w:lang w:val="en-US"/>
        </w:rPr>
        <w:t xml:space="preserve">enefits and </w:t>
      </w:r>
      <w:r>
        <w:rPr>
          <w:lang w:val="en-US"/>
        </w:rPr>
        <w:t>H</w:t>
      </w:r>
      <w:r w:rsidRPr="008D7AAF">
        <w:rPr>
          <w:lang w:val="en-US"/>
        </w:rPr>
        <w:t xml:space="preserve">ospitality </w:t>
      </w:r>
      <w:r>
        <w:rPr>
          <w:lang w:val="en-US"/>
        </w:rPr>
        <w:t>P</w:t>
      </w:r>
      <w:r w:rsidRPr="008D7AAF">
        <w:rPr>
          <w:lang w:val="en-US"/>
        </w:rPr>
        <w:t xml:space="preserve">olicy </w:t>
      </w:r>
    </w:p>
    <w:p w14:paraId="5439510F" w14:textId="77777777" w:rsidR="008D7AAF" w:rsidRPr="008D7AAF" w:rsidRDefault="008D7AAF" w:rsidP="008D7AAF">
      <w:pPr>
        <w:pStyle w:val="Heading2"/>
        <w:rPr>
          <w:lang w:val="en-US"/>
        </w:rPr>
      </w:pPr>
      <w:r w:rsidRPr="008D7AAF">
        <w:rPr>
          <w:lang w:val="en-US"/>
        </w:rPr>
        <w:t xml:space="preserve">Purpose </w:t>
      </w:r>
    </w:p>
    <w:p w14:paraId="35E799C5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>This policy states Victoria Legal Aid’s</w:t>
      </w:r>
      <w:r>
        <w:rPr>
          <w:lang w:val="en-US"/>
        </w:rPr>
        <w:t xml:space="preserve"> (VLA’s)</w:t>
      </w:r>
      <w:r w:rsidRPr="008D7AAF">
        <w:rPr>
          <w:lang w:val="en-US"/>
        </w:rPr>
        <w:t xml:space="preserve"> position on:</w:t>
      </w:r>
    </w:p>
    <w:p w14:paraId="1102F4EF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responding to offers of gifts, benefits and hospitality</w:t>
      </w:r>
      <w:r>
        <w:rPr>
          <w:lang w:val="en-US"/>
        </w:rPr>
        <w:t>,</w:t>
      </w:r>
      <w:r w:rsidRPr="008D7AAF">
        <w:rPr>
          <w:lang w:val="en-US"/>
        </w:rPr>
        <w:t xml:space="preserve"> and</w:t>
      </w:r>
    </w:p>
    <w:p w14:paraId="397B2A8C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providing gifts, benefits and hospitality.</w:t>
      </w:r>
    </w:p>
    <w:p w14:paraId="451C1FC4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>This policy is intended to support staff, contractors and consultants to avoid conflicts of interest and maintain high levels of integrity and public trust.</w:t>
      </w:r>
    </w:p>
    <w:p w14:paraId="62FB730D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VLA has issued this policy to support behavior consistent with the </w:t>
      </w:r>
      <w:r w:rsidRPr="008D7AAF">
        <w:rPr>
          <w:i/>
          <w:lang w:val="en-US"/>
        </w:rPr>
        <w:t>Code of conduct for Victorian public sector employees</w:t>
      </w:r>
      <w:r w:rsidRPr="008D7AAF">
        <w:rPr>
          <w:lang w:val="en-US"/>
        </w:rPr>
        <w:t xml:space="preserve"> (the </w:t>
      </w:r>
      <w:r>
        <w:rPr>
          <w:lang w:val="en-US"/>
        </w:rPr>
        <w:t>c</w:t>
      </w:r>
      <w:r w:rsidRPr="008D7AAF">
        <w:rPr>
          <w:lang w:val="en-US"/>
        </w:rPr>
        <w:t xml:space="preserve">ode). All employees are required under clause 1.2 of the </w:t>
      </w:r>
      <w:r w:rsidR="00EE4E63">
        <w:rPr>
          <w:lang w:val="en-US"/>
        </w:rPr>
        <w:t>c</w:t>
      </w:r>
      <w:r w:rsidRPr="008D7AAF">
        <w:rPr>
          <w:lang w:val="en-US"/>
        </w:rPr>
        <w:t>ode to comply with this policy.</w:t>
      </w:r>
    </w:p>
    <w:p w14:paraId="6379932F" w14:textId="77777777" w:rsidR="008D7AAF" w:rsidRPr="008D7AAF" w:rsidRDefault="008D7AAF" w:rsidP="008D7AAF">
      <w:pPr>
        <w:pStyle w:val="Heading2"/>
        <w:rPr>
          <w:lang w:val="en-US"/>
        </w:rPr>
      </w:pPr>
      <w:r w:rsidRPr="008D7AAF">
        <w:rPr>
          <w:lang w:val="en-US"/>
        </w:rPr>
        <w:t>Policy</w:t>
      </w:r>
    </w:p>
    <w:p w14:paraId="4A106DA1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This policy has been developed in accordance with requirements outlined in the </w:t>
      </w:r>
      <w:r w:rsidRPr="008D7AAF">
        <w:rPr>
          <w:i/>
          <w:lang w:val="en-US"/>
        </w:rPr>
        <w:t>Minimum accountabilities for the management of gifts, benefits and hospitality</w:t>
      </w:r>
      <w:r w:rsidRPr="008D7AAF">
        <w:rPr>
          <w:lang w:val="en-US"/>
        </w:rPr>
        <w:t xml:space="preserve"> issued by the Victorian Public Sector Commission (VPSC).</w:t>
      </w:r>
    </w:p>
    <w:p w14:paraId="734AA77B" w14:textId="77777777" w:rsidR="008D7AAF" w:rsidRPr="008D7AAF" w:rsidRDefault="008D7AAF" w:rsidP="008D7AAF">
      <w:pPr>
        <w:pStyle w:val="Heading2"/>
        <w:rPr>
          <w:lang w:val="en-US"/>
        </w:rPr>
      </w:pPr>
      <w:r w:rsidRPr="008D7AAF">
        <w:rPr>
          <w:lang w:val="en-US"/>
        </w:rPr>
        <w:t xml:space="preserve">Policy </w:t>
      </w:r>
      <w:r>
        <w:rPr>
          <w:lang w:val="en-US"/>
        </w:rPr>
        <w:t>s</w:t>
      </w:r>
      <w:r w:rsidRPr="008D7AAF">
        <w:rPr>
          <w:lang w:val="en-US"/>
        </w:rPr>
        <w:t>tatement</w:t>
      </w:r>
    </w:p>
    <w:p w14:paraId="12080C67" w14:textId="77777777" w:rsidR="008D7AAF" w:rsidRPr="008D7AAF" w:rsidRDefault="008D7AAF" w:rsidP="008D7AAF">
      <w:pPr>
        <w:pStyle w:val="Heading3"/>
        <w:rPr>
          <w:lang w:val="en-US"/>
        </w:rPr>
      </w:pPr>
      <w:r w:rsidRPr="008D7AAF">
        <w:rPr>
          <w:lang w:val="en-US"/>
        </w:rPr>
        <w:t>VLA staff offered gifts, benefits and hospitality</w:t>
      </w:r>
    </w:p>
    <w:p w14:paraId="59D0827D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>Do not, for yourself or others, seek or solicit gifts, benefits or hospitality.</w:t>
      </w:r>
    </w:p>
    <w:p w14:paraId="2F2AE2A8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 xml:space="preserve">Refuse all offers of gifts, benefits or hospitality that could be reasonably perceived as undermining yourself or the agency’s integrity and impartiality. </w:t>
      </w:r>
    </w:p>
    <w:p w14:paraId="1B461A6E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>Refuse all offers of gifts, benefits or hospitality that:</w:t>
      </w:r>
    </w:p>
    <w:p w14:paraId="6B70A7CE" w14:textId="77777777" w:rsidR="008D7AAF" w:rsidRPr="008D7AAF" w:rsidRDefault="00B62A35" w:rsidP="008D7AAF">
      <w:pPr>
        <w:pStyle w:val="ListBullet"/>
        <w:rPr>
          <w:lang w:val="en-US"/>
        </w:rPr>
      </w:pPr>
      <w:r>
        <w:rPr>
          <w:lang w:val="en-US"/>
        </w:rPr>
        <w:t>a</w:t>
      </w:r>
      <w:r w:rsidR="008D7AAF" w:rsidRPr="008D7AAF">
        <w:rPr>
          <w:lang w:val="en-US"/>
        </w:rPr>
        <w:t>re money, items used in a similar way to money, or items easily converted to money</w:t>
      </w:r>
    </w:p>
    <w:p w14:paraId="5BE26C5E" w14:textId="77777777" w:rsidR="008D7AAF" w:rsidRPr="008D7AAF" w:rsidRDefault="00B62A35" w:rsidP="008D7AAF">
      <w:pPr>
        <w:pStyle w:val="ListBullet"/>
        <w:rPr>
          <w:lang w:val="en-US"/>
        </w:rPr>
      </w:pPr>
      <w:r>
        <w:rPr>
          <w:lang w:val="en-US"/>
        </w:rPr>
        <w:t>g</w:t>
      </w:r>
      <w:r w:rsidR="008D7AAF" w:rsidRPr="008D7AAF">
        <w:rPr>
          <w:lang w:val="en-US"/>
        </w:rPr>
        <w:t>ive rise to an actual, potential or perceived conflict of interest</w:t>
      </w:r>
    </w:p>
    <w:p w14:paraId="18642698" w14:textId="77777777" w:rsidR="008D7AAF" w:rsidRPr="008D7AAF" w:rsidRDefault="00B62A35" w:rsidP="008D7AAF">
      <w:pPr>
        <w:pStyle w:val="ListBullet"/>
        <w:rPr>
          <w:lang w:val="en-US"/>
        </w:rPr>
      </w:pPr>
      <w:r>
        <w:rPr>
          <w:lang w:val="en-US"/>
        </w:rPr>
        <w:t>m</w:t>
      </w:r>
      <w:r w:rsidR="008D7AAF" w:rsidRPr="008D7AAF">
        <w:rPr>
          <w:lang w:val="en-US"/>
        </w:rPr>
        <w:t>ay adversely affect their standing as a public official or which may bring the agency or the public sector into disrepute</w:t>
      </w:r>
      <w:r w:rsidR="008D7AAF">
        <w:rPr>
          <w:lang w:val="en-US"/>
        </w:rPr>
        <w:t xml:space="preserve">, </w:t>
      </w:r>
      <w:r w:rsidR="008D7AAF" w:rsidRPr="008D7AAF">
        <w:rPr>
          <w:lang w:val="en-US"/>
        </w:rPr>
        <w:t>or</w:t>
      </w:r>
    </w:p>
    <w:p w14:paraId="552963E4" w14:textId="77777777" w:rsidR="008D7AAF" w:rsidRPr="008D7AAF" w:rsidRDefault="00B62A35" w:rsidP="008D7AAF">
      <w:pPr>
        <w:pStyle w:val="ListBullet"/>
        <w:rPr>
          <w:lang w:val="en-US"/>
        </w:rPr>
      </w:pPr>
      <w:r>
        <w:rPr>
          <w:lang w:val="en-US"/>
        </w:rPr>
        <w:t>a</w:t>
      </w:r>
      <w:r w:rsidR="008D7AAF" w:rsidRPr="008D7AAF">
        <w:rPr>
          <w:lang w:val="en-US"/>
        </w:rPr>
        <w:t xml:space="preserve">re non-token offers without a legitimate business </w:t>
      </w:r>
      <w:proofErr w:type="gramStart"/>
      <w:r w:rsidR="008D7AAF" w:rsidRPr="008D7AAF">
        <w:rPr>
          <w:lang w:val="en-US"/>
        </w:rPr>
        <w:t>benefit.</w:t>
      </w:r>
      <w:proofErr w:type="gramEnd"/>
    </w:p>
    <w:p w14:paraId="2FEA1764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 xml:space="preserve">Staff should refuse all offers of gifts, benefits or hospitality from individuals or organisations about whom they are likely to make decisions involving:  </w:t>
      </w:r>
    </w:p>
    <w:p w14:paraId="429030F1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contract management</w:t>
      </w:r>
    </w:p>
    <w:p w14:paraId="30B270AF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tender processes</w:t>
      </w:r>
    </w:p>
    <w:p w14:paraId="4899A8F7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procuremen</w:t>
      </w:r>
      <w:r>
        <w:rPr>
          <w:lang w:val="en-US"/>
        </w:rPr>
        <w:t>t</w:t>
      </w:r>
    </w:p>
    <w:p w14:paraId="49F3D8D5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enforcement</w:t>
      </w:r>
    </w:p>
    <w:p w14:paraId="2AD239B3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licensing</w:t>
      </w:r>
    </w:p>
    <w:p w14:paraId="5DFC4518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lastRenderedPageBreak/>
        <w:t>regulation</w:t>
      </w:r>
    </w:p>
    <w:p w14:paraId="31F384FC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>grants of legal assistance</w:t>
      </w:r>
      <w:r>
        <w:rPr>
          <w:lang w:val="en-US"/>
        </w:rPr>
        <w:t>,</w:t>
      </w:r>
      <w:r w:rsidRPr="008D7AAF">
        <w:rPr>
          <w:lang w:val="en-US"/>
        </w:rPr>
        <w:t xml:space="preserve"> or</w:t>
      </w:r>
    </w:p>
    <w:p w14:paraId="66417429" w14:textId="77777777" w:rsidR="008D7AAF" w:rsidRPr="008D7AAF" w:rsidRDefault="008D7AAF" w:rsidP="008D7AAF">
      <w:pPr>
        <w:pStyle w:val="ListBullet"/>
        <w:rPr>
          <w:lang w:val="en-US"/>
        </w:rPr>
      </w:pPr>
      <w:r w:rsidRPr="008D7AAF">
        <w:rPr>
          <w:lang w:val="en-US"/>
        </w:rPr>
        <w:t xml:space="preserve">practitioner panels.  </w:t>
      </w:r>
    </w:p>
    <w:p w14:paraId="78124712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 xml:space="preserve">Refuse bribes or inducements and report inducements and bribery attempts to your </w:t>
      </w:r>
      <w:r w:rsidR="00B62A35">
        <w:rPr>
          <w:lang w:val="en-US"/>
        </w:rPr>
        <w:t>d</w:t>
      </w:r>
      <w:r w:rsidRPr="008D7AAF">
        <w:rPr>
          <w:lang w:val="en-US"/>
        </w:rPr>
        <w:t>irector or their delegate (who should report any criminal or corrupt conduct to Victoria Police or the Independent Broad-based Anti-corruption Commission).</w:t>
      </w:r>
    </w:p>
    <w:p w14:paraId="703D793E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 xml:space="preserve">If unsure about how to respond to an offer of a gift, benefit or hospitality of more than nominal value (nominal value is $50), seek advice from your </w:t>
      </w:r>
      <w:r w:rsidR="00B62A35">
        <w:rPr>
          <w:lang w:val="en-US"/>
        </w:rPr>
        <w:t>e</w:t>
      </w:r>
      <w:r w:rsidRPr="008D7AAF">
        <w:rPr>
          <w:lang w:val="en-US"/>
        </w:rPr>
        <w:t xml:space="preserve">xecutive </w:t>
      </w:r>
      <w:r w:rsidR="00B62A35">
        <w:rPr>
          <w:lang w:val="en-US"/>
        </w:rPr>
        <w:t>d</w:t>
      </w:r>
      <w:r w:rsidRPr="008D7AAF">
        <w:rPr>
          <w:lang w:val="en-US"/>
        </w:rPr>
        <w:t xml:space="preserve">irector, your manager or your People and Culture </w:t>
      </w:r>
      <w:r w:rsidR="00B62A35">
        <w:rPr>
          <w:lang w:val="en-US"/>
        </w:rPr>
        <w:t>b</w:t>
      </w:r>
      <w:r w:rsidRPr="008D7AAF">
        <w:rPr>
          <w:lang w:val="en-US"/>
        </w:rPr>
        <w:t xml:space="preserve">usiness </w:t>
      </w:r>
      <w:r w:rsidR="00B62A35">
        <w:rPr>
          <w:lang w:val="en-US"/>
        </w:rPr>
        <w:t>p</w:t>
      </w:r>
      <w:r w:rsidRPr="008D7AAF">
        <w:rPr>
          <w:lang w:val="en-US"/>
        </w:rPr>
        <w:t>artner.</w:t>
      </w:r>
    </w:p>
    <w:p w14:paraId="01613B89" w14:textId="77777777" w:rsidR="008D7AAF" w:rsidRPr="008D7AAF" w:rsidRDefault="008D7AAF" w:rsidP="008D7AAF">
      <w:pPr>
        <w:pStyle w:val="Heading3"/>
        <w:rPr>
          <w:lang w:val="en-US"/>
        </w:rPr>
      </w:pPr>
      <w:r w:rsidRPr="008D7AAF">
        <w:rPr>
          <w:lang w:val="en-US"/>
        </w:rPr>
        <w:t xml:space="preserve">VLA staff providing gifts, benefits and hospitality </w:t>
      </w:r>
    </w:p>
    <w:p w14:paraId="0A359B90" w14:textId="77777777" w:rsidR="008D7AAF" w:rsidRPr="008D7AAF" w:rsidRDefault="008D7AAF" w:rsidP="008D7AAF">
      <w:pPr>
        <w:pStyle w:val="VLA1"/>
        <w:numPr>
          <w:ilvl w:val="0"/>
          <w:numId w:val="36"/>
        </w:numPr>
        <w:rPr>
          <w:lang w:val="en-US"/>
        </w:rPr>
      </w:pPr>
      <w:r w:rsidRPr="008D7AAF">
        <w:rPr>
          <w:lang w:val="en-US"/>
        </w:rPr>
        <w:t xml:space="preserve">Ensure that any gift or hospitality is provided for a business purpose in that it furthers the conduct of official business or other legitimate organisational goals or promotes and supports business plan objectives and priorities. </w:t>
      </w:r>
    </w:p>
    <w:p w14:paraId="459D9DE8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>Ensure that any costs are proportionate to the benefits obtained for VLA and would be considered reasonable in terms of community expectations.</w:t>
      </w:r>
    </w:p>
    <w:p w14:paraId="4ABFB445" w14:textId="77777777" w:rsid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>Ensure that when hospitality is provided, individuals demonstrate professionalism in their conduct, and uphold their obligation to extend a duty of care to other participants.</w:t>
      </w:r>
    </w:p>
    <w:p w14:paraId="37739B46" w14:textId="77777777" w:rsidR="002F0893" w:rsidRPr="008D7AAF" w:rsidRDefault="002F0893" w:rsidP="008D7AAF">
      <w:pPr>
        <w:pStyle w:val="VLA1"/>
        <w:rPr>
          <w:lang w:val="en-US"/>
        </w:rPr>
      </w:pPr>
      <w:r>
        <w:rPr>
          <w:lang w:val="en-US"/>
        </w:rPr>
        <w:t>Ensure that public funds are not used to purchase alcohol for gifts, benefits and hospitality.</w:t>
      </w:r>
    </w:p>
    <w:p w14:paraId="6918AEF5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 xml:space="preserve">Ensure that where it is appropriate for alcohol to be served, this may be purchased by the individuals hosting the </w:t>
      </w:r>
      <w:r w:rsidR="00B62A35" w:rsidRPr="008D7AAF">
        <w:rPr>
          <w:lang w:val="en-US"/>
        </w:rPr>
        <w:t>event,</w:t>
      </w:r>
      <w:r w:rsidRPr="008D7AAF">
        <w:rPr>
          <w:lang w:val="en-US"/>
        </w:rPr>
        <w:t xml:space="preserve"> but it will not be reimbursed by VLA.</w:t>
      </w:r>
    </w:p>
    <w:p w14:paraId="72FCE7BC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>Declare all non-token offers (valued at the nominal value of $50 or more) of gifts, benefits and hospitality (whether accepted or declined) on the VLA register.</w:t>
      </w:r>
    </w:p>
    <w:p w14:paraId="6B53055D" w14:textId="77777777" w:rsidR="008D7AAF" w:rsidRPr="008D7AAF" w:rsidRDefault="008D7AAF" w:rsidP="008D7AAF">
      <w:pPr>
        <w:pStyle w:val="VLA1"/>
        <w:rPr>
          <w:lang w:val="en-US"/>
        </w:rPr>
      </w:pPr>
      <w:r w:rsidRPr="008D7AAF">
        <w:rPr>
          <w:lang w:val="en-US"/>
        </w:rPr>
        <w:t>Any gifts to employees as part of VLA’s reward and recognition program should only occur in</w:t>
      </w:r>
      <w:r>
        <w:rPr>
          <w:lang w:val="en-US"/>
        </w:rPr>
        <w:t xml:space="preserve"> </w:t>
      </w:r>
      <w:r w:rsidRPr="008D7AAF">
        <w:rPr>
          <w:lang w:val="en-US"/>
        </w:rPr>
        <w:t>exceptional circumstances, and any gifts should be token in nature.</w:t>
      </w:r>
    </w:p>
    <w:p w14:paraId="6B01BA8B" w14:textId="77777777" w:rsidR="008D7AAF" w:rsidRPr="008D7AAF" w:rsidRDefault="008D7AAF" w:rsidP="008D7AAF">
      <w:pPr>
        <w:pStyle w:val="Heading2"/>
        <w:rPr>
          <w:lang w:val="en-US"/>
        </w:rPr>
      </w:pPr>
      <w:r w:rsidRPr="008D7AAF">
        <w:rPr>
          <w:lang w:val="en-US"/>
        </w:rPr>
        <w:t xml:space="preserve">Roles and responsibilities </w:t>
      </w:r>
    </w:p>
    <w:p w14:paraId="3C5E46C8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Individual staff and their manager(s) must adhere to the policy requirements and complete the </w:t>
      </w:r>
      <w:r w:rsidRPr="008D7AAF">
        <w:rPr>
          <w:i/>
          <w:lang w:val="en-US"/>
        </w:rPr>
        <w:t>Gifts declaration for VLA employees</w:t>
      </w:r>
      <w:r w:rsidRPr="008D7AAF">
        <w:rPr>
          <w:lang w:val="en-US"/>
        </w:rPr>
        <w:t xml:space="preserve"> form where a reportable gift is received or accepted. </w:t>
      </w:r>
    </w:p>
    <w:p w14:paraId="07CE29DF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Managers must seek advice from their </w:t>
      </w:r>
      <w:r>
        <w:rPr>
          <w:lang w:val="en-US"/>
        </w:rPr>
        <w:t>e</w:t>
      </w:r>
      <w:r w:rsidRPr="008D7AAF">
        <w:rPr>
          <w:lang w:val="en-US"/>
        </w:rPr>
        <w:t xml:space="preserve">xecutive </w:t>
      </w:r>
      <w:r>
        <w:rPr>
          <w:lang w:val="en-US"/>
        </w:rPr>
        <w:t>d</w:t>
      </w:r>
      <w:r w:rsidRPr="008D7AAF">
        <w:rPr>
          <w:lang w:val="en-US"/>
        </w:rPr>
        <w:t xml:space="preserve">irector or </w:t>
      </w:r>
      <w:r>
        <w:rPr>
          <w:lang w:val="en-US"/>
        </w:rPr>
        <w:t>b</w:t>
      </w:r>
      <w:r w:rsidRPr="008D7AAF">
        <w:rPr>
          <w:lang w:val="en-US"/>
        </w:rPr>
        <w:t xml:space="preserve">usiness </w:t>
      </w:r>
      <w:r>
        <w:rPr>
          <w:lang w:val="en-US"/>
        </w:rPr>
        <w:t>p</w:t>
      </w:r>
      <w:r w:rsidRPr="008D7AAF">
        <w:rPr>
          <w:lang w:val="en-US"/>
        </w:rPr>
        <w:t xml:space="preserve">artner where they are unable to determine appropriate action in relation to staff receiving or providing gifts, benefits or hospitality. </w:t>
      </w:r>
    </w:p>
    <w:p w14:paraId="0B2900DE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>VLA will not use public funds to purchase alcohol, either for VLA events or as part of a meal reimbursement when travelling or working overtime</w:t>
      </w:r>
      <w:r w:rsidR="00B62A35">
        <w:rPr>
          <w:lang w:val="en-US"/>
        </w:rPr>
        <w:t>.</w:t>
      </w:r>
    </w:p>
    <w:p w14:paraId="3F13089C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This </w:t>
      </w:r>
      <w:r>
        <w:rPr>
          <w:lang w:val="en-US"/>
        </w:rPr>
        <w:t>G</w:t>
      </w:r>
      <w:r w:rsidRPr="008D7AAF">
        <w:rPr>
          <w:lang w:val="en-US"/>
        </w:rPr>
        <w:t>ifts</w:t>
      </w:r>
      <w:r>
        <w:rPr>
          <w:lang w:val="en-US"/>
        </w:rPr>
        <w:t>,</w:t>
      </w:r>
      <w:r w:rsidRPr="008D7AAF">
        <w:rPr>
          <w:lang w:val="en-US"/>
        </w:rPr>
        <w:t xml:space="preserve"> </w:t>
      </w:r>
      <w:r>
        <w:rPr>
          <w:lang w:val="en-US"/>
        </w:rPr>
        <w:t>B</w:t>
      </w:r>
      <w:r w:rsidRPr="008D7AAF">
        <w:rPr>
          <w:lang w:val="en-US"/>
        </w:rPr>
        <w:t xml:space="preserve">enefits and </w:t>
      </w:r>
      <w:r>
        <w:rPr>
          <w:lang w:val="en-US"/>
        </w:rPr>
        <w:t>H</w:t>
      </w:r>
      <w:r w:rsidRPr="008D7AAF">
        <w:rPr>
          <w:lang w:val="en-US"/>
        </w:rPr>
        <w:t xml:space="preserve">ospitality </w:t>
      </w:r>
      <w:r>
        <w:rPr>
          <w:lang w:val="en-US"/>
        </w:rPr>
        <w:t>P</w:t>
      </w:r>
      <w:r w:rsidRPr="008D7AAF">
        <w:rPr>
          <w:lang w:val="en-US"/>
        </w:rPr>
        <w:t xml:space="preserve">olicy supports VLA’s procurement policy and all relevant internal approval procedures and financial delegations. </w:t>
      </w:r>
    </w:p>
    <w:p w14:paraId="583E18D8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The </w:t>
      </w:r>
      <w:r w:rsidR="00B62A35">
        <w:rPr>
          <w:lang w:val="en-US"/>
        </w:rPr>
        <w:t>P</w:t>
      </w:r>
      <w:r w:rsidRPr="008D7AAF">
        <w:rPr>
          <w:lang w:val="en-US"/>
        </w:rPr>
        <w:t xml:space="preserve">ayroll </w:t>
      </w:r>
      <w:r>
        <w:rPr>
          <w:lang w:val="en-US"/>
        </w:rPr>
        <w:t>s</w:t>
      </w:r>
      <w:r w:rsidRPr="008D7AAF">
        <w:rPr>
          <w:lang w:val="en-US"/>
        </w:rPr>
        <w:t xml:space="preserve">ervices </w:t>
      </w:r>
      <w:r>
        <w:rPr>
          <w:lang w:val="en-US"/>
        </w:rPr>
        <w:t>m</w:t>
      </w:r>
      <w:r w:rsidRPr="008D7AAF">
        <w:rPr>
          <w:lang w:val="en-US"/>
        </w:rPr>
        <w:t xml:space="preserve">anager must maintain the gift register.  </w:t>
      </w:r>
    </w:p>
    <w:p w14:paraId="614BFDF1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The </w:t>
      </w:r>
      <w:r>
        <w:rPr>
          <w:lang w:val="en-US"/>
        </w:rPr>
        <w:t>h</w:t>
      </w:r>
      <w:r w:rsidRPr="008D7AAF">
        <w:rPr>
          <w:lang w:val="en-US"/>
        </w:rPr>
        <w:t>ead of People and Culture is the policy owne</w:t>
      </w:r>
      <w:r>
        <w:rPr>
          <w:lang w:val="en-US"/>
        </w:rPr>
        <w:t>r</w:t>
      </w:r>
      <w:r w:rsidRPr="008D7AAF">
        <w:rPr>
          <w:lang w:val="en-US"/>
        </w:rPr>
        <w:t xml:space="preserve"> and is responsible for monitoring the gift register and any associated breaches of the policy.</w:t>
      </w:r>
    </w:p>
    <w:p w14:paraId="3B5A00D6" w14:textId="77777777" w:rsidR="008D7AAF" w:rsidRPr="008D7AAF" w:rsidRDefault="008D7AAF" w:rsidP="008D7AAF">
      <w:pPr>
        <w:pStyle w:val="Heading2"/>
        <w:rPr>
          <w:lang w:val="en-US"/>
        </w:rPr>
      </w:pPr>
      <w:r w:rsidRPr="008D7AAF">
        <w:rPr>
          <w:lang w:val="en-US"/>
        </w:rPr>
        <w:lastRenderedPageBreak/>
        <w:t>Non-compliance with policy</w:t>
      </w:r>
    </w:p>
    <w:p w14:paraId="06DED601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An established failure to comply with this policy will be treated as a matter of misconduct. Possible disciplinary outcomes for misconduct include performance management, counselling, warnings or termination of employment. </w:t>
      </w:r>
    </w:p>
    <w:p w14:paraId="2DC4AA0C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>Non-compliance with the policy may also constitute criminal or corrupt conduct, which will be reported to the appropriate authorities as required.</w:t>
      </w:r>
    </w:p>
    <w:p w14:paraId="6CBC6559" w14:textId="77777777" w:rsidR="008D7AAF" w:rsidRPr="008D7AAF" w:rsidRDefault="008D7AAF" w:rsidP="008D7AAF">
      <w:pPr>
        <w:pStyle w:val="Heading2"/>
        <w:rPr>
          <w:lang w:val="en-US"/>
        </w:rPr>
      </w:pPr>
      <w:r w:rsidRPr="008D7AAF">
        <w:rPr>
          <w:lang w:val="en-US"/>
        </w:rPr>
        <w:t xml:space="preserve">Definitions </w:t>
      </w:r>
    </w:p>
    <w:p w14:paraId="1289031E" w14:textId="77777777" w:rsidR="008D7AAF" w:rsidRPr="008D7AAF" w:rsidRDefault="008D7AAF" w:rsidP="008D7AAF">
      <w:pPr>
        <w:rPr>
          <w:lang w:val="en-US"/>
        </w:rPr>
      </w:pPr>
      <w:r w:rsidRPr="008D7AAF">
        <w:rPr>
          <w:b/>
          <w:lang w:val="en-US"/>
        </w:rPr>
        <w:t>Gift</w:t>
      </w:r>
      <w:r>
        <w:rPr>
          <w:lang w:val="en-US"/>
        </w:rPr>
        <w:t xml:space="preserve"> –</w:t>
      </w:r>
      <w:r w:rsidRPr="008D7AAF">
        <w:rPr>
          <w:lang w:val="en-US"/>
        </w:rPr>
        <w:t xml:space="preserve"> </w:t>
      </w:r>
      <w:r w:rsidR="002F0893">
        <w:t xml:space="preserve">any </w:t>
      </w:r>
      <w:r w:rsidR="002F0893" w:rsidRPr="00E13549">
        <w:t>free or discounted item and/or any item that would generally be seen by the public as a gift. These include items of high value (eg artwork, jewellery, or expensive pens), low value (eg small bunch of flowers) and consumables (eg chocolates).</w:t>
      </w:r>
    </w:p>
    <w:p w14:paraId="2D494C13" w14:textId="77777777" w:rsidR="008D7AAF" w:rsidRPr="008D7AAF" w:rsidRDefault="008D7AAF" w:rsidP="008D7AAF">
      <w:pPr>
        <w:rPr>
          <w:lang w:val="en-US"/>
        </w:rPr>
      </w:pPr>
      <w:r w:rsidRPr="008D7AAF">
        <w:rPr>
          <w:b/>
          <w:lang w:val="en-US"/>
        </w:rPr>
        <w:t>Benefit</w:t>
      </w:r>
      <w:r>
        <w:rPr>
          <w:lang w:val="en-US"/>
        </w:rPr>
        <w:t xml:space="preserve"> – </w:t>
      </w:r>
      <w:r w:rsidRPr="008D7AAF">
        <w:rPr>
          <w:lang w:val="en-US"/>
        </w:rPr>
        <w:t xml:space="preserve">include preferential treatment, privileged access, </w:t>
      </w:r>
      <w:proofErr w:type="spellStart"/>
      <w:r w:rsidRPr="008D7AAF">
        <w:rPr>
          <w:lang w:val="en-US"/>
        </w:rPr>
        <w:t>favours</w:t>
      </w:r>
      <w:proofErr w:type="spellEnd"/>
      <w:r w:rsidRPr="008D7AAF">
        <w:rPr>
          <w:lang w:val="en-US"/>
        </w:rPr>
        <w:t xml:space="preserve"> and/or other advantage offered. </w:t>
      </w:r>
    </w:p>
    <w:p w14:paraId="6FF834E3" w14:textId="77777777" w:rsidR="008D7AAF" w:rsidRPr="008D7AAF" w:rsidRDefault="008D7AAF" w:rsidP="008D7AAF">
      <w:pPr>
        <w:rPr>
          <w:lang w:val="en-US"/>
        </w:rPr>
      </w:pPr>
      <w:r w:rsidRPr="008D7AAF">
        <w:rPr>
          <w:b/>
          <w:lang w:val="en-US"/>
        </w:rPr>
        <w:t>Hospitality</w:t>
      </w:r>
      <w:r>
        <w:rPr>
          <w:lang w:val="en-US"/>
        </w:rPr>
        <w:t xml:space="preserve"> – </w:t>
      </w:r>
      <w:r w:rsidRPr="008D7AAF">
        <w:rPr>
          <w:lang w:val="en-US"/>
        </w:rPr>
        <w:t>the friendly reception and entertainment of guests, ranging from light refreshments at a business meeting to restaurant meals and sponsored travel and accommodation.</w:t>
      </w:r>
    </w:p>
    <w:p w14:paraId="2011ED51" w14:textId="77777777" w:rsidR="008D7AAF" w:rsidRPr="008D7AAF" w:rsidRDefault="008D7AAF" w:rsidP="008D7AAF">
      <w:pPr>
        <w:rPr>
          <w:lang w:val="en-US"/>
        </w:rPr>
      </w:pPr>
      <w:r w:rsidRPr="008D7AAF">
        <w:rPr>
          <w:b/>
          <w:lang w:val="en-US"/>
        </w:rPr>
        <w:t>Nominal value</w:t>
      </w:r>
      <w:r>
        <w:rPr>
          <w:lang w:val="en-US"/>
        </w:rPr>
        <w:t xml:space="preserve"> – </w:t>
      </w:r>
      <w:r w:rsidRPr="008D7AAF">
        <w:rPr>
          <w:lang w:val="en-US"/>
        </w:rPr>
        <w:t>a subjective assessment of what could reasonably be considered minimal value.  Nominal value should not generally exceed $50 but gifts, benefits or hospitality of lesser value may still be considered inappropriate if a perception of bias or influence would ensue.</w:t>
      </w:r>
    </w:p>
    <w:p w14:paraId="6AC9F1D9" w14:textId="77777777" w:rsidR="008D7AAF" w:rsidRPr="008D7AAF" w:rsidRDefault="008D7AAF" w:rsidP="008D7AAF">
      <w:pPr>
        <w:pStyle w:val="Heading2"/>
        <w:rPr>
          <w:lang w:val="en-US"/>
        </w:rPr>
      </w:pPr>
      <w:r w:rsidRPr="008D7AAF">
        <w:rPr>
          <w:lang w:val="en-US"/>
        </w:rPr>
        <w:t>How to make a report</w:t>
      </w:r>
    </w:p>
    <w:p w14:paraId="604FFF3A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 xml:space="preserve">Staff that have received a gift that is required to be reported need to complete a </w:t>
      </w:r>
      <w:r w:rsidRPr="008D7AAF">
        <w:rPr>
          <w:i/>
          <w:lang w:val="en-US"/>
        </w:rPr>
        <w:t>Gift declaration for VLA staff</w:t>
      </w:r>
      <w:r w:rsidRPr="008D7AAF">
        <w:rPr>
          <w:lang w:val="en-US"/>
        </w:rPr>
        <w:t xml:space="preserve"> form. The completed form should be sent to the Payroll </w:t>
      </w:r>
      <w:r>
        <w:rPr>
          <w:lang w:val="en-US"/>
        </w:rPr>
        <w:t>s</w:t>
      </w:r>
      <w:r w:rsidRPr="008D7AAF">
        <w:rPr>
          <w:lang w:val="en-US"/>
        </w:rPr>
        <w:t xml:space="preserve">ervices </w:t>
      </w:r>
      <w:r>
        <w:rPr>
          <w:lang w:val="en-US"/>
        </w:rPr>
        <w:t>m</w:t>
      </w:r>
      <w:r w:rsidRPr="008D7AAF">
        <w:rPr>
          <w:lang w:val="en-US"/>
        </w:rPr>
        <w:t xml:space="preserve">anager in People </w:t>
      </w:r>
      <w:r>
        <w:rPr>
          <w:lang w:val="en-US"/>
        </w:rPr>
        <w:t>and</w:t>
      </w:r>
      <w:r w:rsidRPr="008D7AAF">
        <w:rPr>
          <w:lang w:val="en-US"/>
        </w:rPr>
        <w:t xml:space="preserve"> Culture at </w:t>
      </w:r>
      <w:hyperlink r:id="rId11" w:history="1">
        <w:r w:rsidRPr="008D7AAF">
          <w:rPr>
            <w:rStyle w:val="Hyperlink"/>
            <w:lang w:val="en-US"/>
          </w:rPr>
          <w:t>payroll@vla.vic.gov.au</w:t>
        </w:r>
      </w:hyperlink>
      <w:r w:rsidRPr="008D7AAF">
        <w:rPr>
          <w:lang w:val="en-US"/>
        </w:rPr>
        <w:t xml:space="preserve"> </w:t>
      </w:r>
    </w:p>
    <w:p w14:paraId="77FF3566" w14:textId="77777777" w:rsidR="008D7AAF" w:rsidRPr="008D7AAF" w:rsidRDefault="008D7AAF" w:rsidP="008D7AAF">
      <w:pPr>
        <w:rPr>
          <w:lang w:val="en-US"/>
        </w:rPr>
      </w:pPr>
      <w:r w:rsidRPr="008D7AAF">
        <w:rPr>
          <w:lang w:val="en-US"/>
        </w:rPr>
        <w:t>The gift register, and all reported gifts, is required to be publicly available, and as such will be published on the VLA website.</w:t>
      </w:r>
    </w:p>
    <w:p w14:paraId="14B08863" w14:textId="77777777" w:rsidR="008D7AAF" w:rsidRPr="008D7AAF" w:rsidRDefault="008D7AAF" w:rsidP="008D7AAF">
      <w:pPr>
        <w:rPr>
          <w:lang w:val="en-US"/>
        </w:rPr>
      </w:pPr>
      <w:r w:rsidRPr="008D7AAF">
        <w:rPr>
          <w:b/>
          <w:lang w:val="en-US"/>
        </w:rPr>
        <w:t>Policy owner:</w:t>
      </w:r>
      <w:r>
        <w:rPr>
          <w:lang w:val="en-US"/>
        </w:rPr>
        <w:t xml:space="preserve"> </w:t>
      </w:r>
      <w:r w:rsidRPr="008D7AAF">
        <w:rPr>
          <w:lang w:val="en-US"/>
        </w:rPr>
        <w:t>Head of People and Culture</w:t>
      </w:r>
    </w:p>
    <w:p w14:paraId="536CFB08" w14:textId="77777777" w:rsidR="008D7AAF" w:rsidRPr="008D7AAF" w:rsidRDefault="008D7AAF" w:rsidP="008D7AAF">
      <w:pPr>
        <w:rPr>
          <w:lang w:val="en-US"/>
        </w:rPr>
      </w:pPr>
      <w:r w:rsidRPr="008D7AAF">
        <w:rPr>
          <w:b/>
          <w:lang w:val="en-US"/>
        </w:rPr>
        <w:t>Contact:</w:t>
      </w:r>
      <w:r>
        <w:rPr>
          <w:lang w:val="en-US"/>
        </w:rPr>
        <w:t xml:space="preserve"> </w:t>
      </w:r>
      <w:r w:rsidRPr="008D7AAF">
        <w:rPr>
          <w:lang w:val="en-US"/>
        </w:rPr>
        <w:t>Payroll Services Manager</w:t>
      </w:r>
      <w:bookmarkStart w:id="0" w:name="_GoBack"/>
      <w:bookmarkEnd w:id="0"/>
    </w:p>
    <w:sectPr w:rsidR="008D7AAF" w:rsidRPr="008D7AAF" w:rsidSect="00F77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F3B9" w14:textId="77777777" w:rsidR="008D7AAF" w:rsidRDefault="008D7A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188C75DB" w14:textId="77777777" w:rsidR="008D7AAF" w:rsidRDefault="008D7A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FABB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F9E5F" w14:textId="77777777" w:rsidR="00BB122F" w:rsidRDefault="00BB122F" w:rsidP="008074B3">
    <w:pPr>
      <w:pStyle w:val="Footer"/>
      <w:ind w:right="360" w:firstLine="360"/>
    </w:pPr>
  </w:p>
  <w:p w14:paraId="495B4C19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56F5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6A4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8C7EA93" wp14:editId="787EBED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5519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CF625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" strokecolor="#75519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6097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3CA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369D944" wp14:editId="4EC0E8FC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5519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978BC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" strokecolor="#75519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2294" w14:textId="77777777" w:rsidR="008D7AAF" w:rsidRDefault="008D7A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74738F80" w14:textId="77777777" w:rsidR="008D7AAF" w:rsidRDefault="008D7A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C4B5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F4AE4" w14:textId="77777777" w:rsidR="00BB122F" w:rsidRDefault="00BB122F" w:rsidP="00091AFC">
    <w:pPr>
      <w:pStyle w:val="Header"/>
      <w:ind w:right="360"/>
    </w:pPr>
  </w:p>
  <w:p w14:paraId="0208DF7A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32A3" w14:textId="77777777" w:rsidR="00BB122F" w:rsidRPr="00991B05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755193"/>
        <w:sz w:val="18"/>
        <w:szCs w:val="18"/>
      </w:rPr>
    </w:pPr>
    <w:r w:rsidRPr="00991B05">
      <w:rPr>
        <w:rFonts w:cs="Arial"/>
        <w:color w:val="755193"/>
        <w:sz w:val="18"/>
        <w:szCs w:val="18"/>
      </w:rPr>
      <w:t>Victoria Legal Aid</w:t>
    </w:r>
    <w:r w:rsidRPr="00991B05">
      <w:rPr>
        <w:rFonts w:cs="Arial"/>
        <w:color w:val="755193"/>
        <w:sz w:val="18"/>
        <w:szCs w:val="18"/>
      </w:rPr>
      <w:tab/>
    </w:r>
  </w:p>
  <w:p w14:paraId="3AE2587A" w14:textId="77777777" w:rsidR="00BB122F" w:rsidRPr="00EF7C5C" w:rsidRDefault="008D7AA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755193"/>
        <w:sz w:val="18"/>
        <w:szCs w:val="18"/>
      </w:rPr>
      <w:t>Gifts, Benefits and Hospitality Policy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 w:rsidR="00BB122F"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80256" behindDoc="1" locked="1" layoutInCell="1" allowOverlap="1" wp14:anchorId="0FDE65BB" wp14:editId="61F17FFD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51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1738A" id="Straight Connector 3" o:spid="_x0000_s1026" alt=" 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" strokecolor="#75519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3CFA" w14:textId="77777777" w:rsidR="00BB122F" w:rsidRPr="00833658" w:rsidRDefault="00812224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702784" behindDoc="1" locked="0" layoutInCell="1" allowOverlap="1" wp14:anchorId="316B920D" wp14:editId="06CEB7B2">
          <wp:simplePos x="0" y="0"/>
          <wp:positionH relativeFrom="column">
            <wp:posOffset>-387985</wp:posOffset>
          </wp:positionH>
          <wp:positionV relativeFrom="paragraph">
            <wp:posOffset>635</wp:posOffset>
          </wp:positionV>
          <wp:extent cx="7200000" cy="1258537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00AD4" w14:textId="77777777" w:rsidR="00BB122F" w:rsidRPr="00D82005" w:rsidRDefault="005E6640" w:rsidP="00D82005">
    <w:pPr>
      <w:pStyle w:val="VLAPublicationdate"/>
      <w:spacing w:before="240" w:after="1200"/>
    </w:pPr>
    <w:r>
      <w:t>July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D8A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313554"/>
    <w:multiLevelType w:val="hybridMultilevel"/>
    <w:tmpl w:val="3CC6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3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13"/>
  </w:num>
  <w:num w:numId="6">
    <w:abstractNumId w:val="13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  <w:num w:numId="17">
    <w:abstractNumId w:val="13"/>
  </w:num>
  <w:num w:numId="18">
    <w:abstractNumId w:val="13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9"/>
  </w:num>
  <w:num w:numId="24">
    <w:abstractNumId w:val="13"/>
  </w:num>
  <w:num w:numId="25">
    <w:abstractNumId w:val="13"/>
  </w:num>
  <w:num w:numId="26">
    <w:abstractNumId w:val="12"/>
  </w:num>
  <w:num w:numId="27">
    <w:abstractNumId w:val="12"/>
  </w:num>
  <w:num w:numId="28">
    <w:abstractNumId w:val="12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8D7AAF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C6955"/>
    <w:rsid w:val="000E1BEB"/>
    <w:rsid w:val="00151B7E"/>
    <w:rsid w:val="0015359B"/>
    <w:rsid w:val="00160C7E"/>
    <w:rsid w:val="00163CA5"/>
    <w:rsid w:val="00181303"/>
    <w:rsid w:val="001A2999"/>
    <w:rsid w:val="0021722B"/>
    <w:rsid w:val="002307E8"/>
    <w:rsid w:val="002B73A4"/>
    <w:rsid w:val="002F0893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5E6640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12224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D7AAF"/>
    <w:rsid w:val="008F4DC6"/>
    <w:rsid w:val="00906A4E"/>
    <w:rsid w:val="00940793"/>
    <w:rsid w:val="00991B05"/>
    <w:rsid w:val="0099270D"/>
    <w:rsid w:val="009A74F1"/>
    <w:rsid w:val="009B0D09"/>
    <w:rsid w:val="009B1F82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2A35"/>
    <w:rsid w:val="00B80709"/>
    <w:rsid w:val="00B85795"/>
    <w:rsid w:val="00BB122F"/>
    <w:rsid w:val="00BD3873"/>
    <w:rsid w:val="00BE36EB"/>
    <w:rsid w:val="00C16B80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E201B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E4E63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56AACE3C"/>
  <w15:docId w15:val="{74399EB9-30AF-43BC-AFFB-2470DA9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81222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755193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81222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755193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991B05"/>
    <w:pPr>
      <w:pBdr>
        <w:bottom w:val="single" w:sz="4" w:space="1" w:color="75519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8D7AAF"/>
    <w:pPr>
      <w:numPr>
        <w:numId w:val="23"/>
      </w:numPr>
      <w:spacing w:after="120" w:line="300" w:lineRule="atLeast"/>
      <w:ind w:left="850" w:hanging="340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812224"/>
    <w:pPr>
      <w:spacing w:before="240" w:after="240" w:line="300" w:lineRule="atLeast"/>
    </w:pPr>
    <w:rPr>
      <w:rFonts w:ascii="Arial" w:eastAsia="Times New Roman" w:hAnsi="Arial" w:cs="Arial"/>
      <w:b/>
      <w:bCs/>
      <w:color w:val="755193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812224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81222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755193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812224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755193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812224"/>
    <w:pPr>
      <w:spacing w:before="60" w:after="240"/>
    </w:pPr>
    <w:rPr>
      <w:b/>
      <w:color w:val="755193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812224"/>
    <w:pPr>
      <w:spacing w:before="240" w:after="60"/>
    </w:pPr>
    <w:rPr>
      <w:b/>
      <w:color w:val="75519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812224"/>
  </w:style>
  <w:style w:type="paragraph" w:customStyle="1" w:styleId="Filename">
    <w:name w:val="Filename"/>
    <w:basedOn w:val="Normal"/>
    <w:rsid w:val="00991B05"/>
    <w:pPr>
      <w:pBdr>
        <w:top w:val="single" w:sz="4" w:space="1" w:color="755193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81222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755193"/>
      <w:kern w:val="28"/>
      <w:sz w:val="36"/>
      <w:szCs w:val="32"/>
    </w:rPr>
  </w:style>
  <w:style w:type="character" w:customStyle="1" w:styleId="TitleChar">
    <w:name w:val="Title Char"/>
    <w:link w:val="Title"/>
    <w:rsid w:val="00812224"/>
    <w:rPr>
      <w:rFonts w:ascii="Arial Bold" w:eastAsia="Times New Roman" w:hAnsi="Arial Bold" w:cs="Arial"/>
      <w:b/>
      <w:bCs/>
      <w:color w:val="755193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7A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8D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roll@vla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D9EBF51C7AC479479C99BF9457DFE" ma:contentTypeVersion="3" ma:contentTypeDescription="Create a new document." ma:contentTypeScope="" ma:versionID="6beec6c8a6c449cba7865af6268ef047">
  <xsd:schema xmlns:xsd="http://www.w3.org/2001/XMLSchema" xmlns:xs="http://www.w3.org/2001/XMLSchema" xmlns:p="http://schemas.microsoft.com/office/2006/metadata/properties" xmlns:ns1="http://schemas.microsoft.com/sharepoint/v3" xmlns:ns2="04bdbd92-2fc7-48fa-8d49-9a10708ee8d5" targetNamespace="http://schemas.microsoft.com/office/2006/metadata/properties" ma:root="true" ma:fieldsID="90b553c7c38c7038d8c29840602782c5" ns1:_="" ns2:_="">
    <xsd:import namespace="http://schemas.microsoft.com/sharepoint/v3"/>
    <xsd:import namespace="04bdbd92-2fc7-48fa-8d49-9a10708ee8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dbd92-2fc7-48fa-8d49-9a10708ee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42E6B-2B94-483F-8117-DFD46AB3F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bdbd92-2fc7-48fa-8d49-9a10708ee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55C5A-56F2-4E9A-9B9D-DD2495040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98771-2802-4B5F-A3B1-6252E714F5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4bdbd92-2fc7-48fa-8d49-9a10708ee8d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20B9B3-C85E-4807-B063-C3F98B25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Gifts, Benefits and Hospitality Policy</vt:lpstr>
    </vt:vector>
  </TitlesOfParts>
  <Company>Victoria Legal Aid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Gifts, Benefits and Hospitality Policy</dc:title>
  <dc:subject/>
  <dc:creator>Victoria Legal Aid</dc:creator>
  <cp:keywords/>
  <cp:lastModifiedBy/>
  <cp:revision>1</cp:revision>
  <dcterms:created xsi:type="dcterms:W3CDTF">2021-04-30T00:08:00Z</dcterms:created>
  <dcterms:modified xsi:type="dcterms:W3CDTF">2021-04-30T00:08:00Z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ContentTypeId">
    <vt:lpwstr>0x010100EC7D9EBF51C7AC479479C99BF9457DFE</vt:lpwstr>
  </op:property>
  <op:property fmtid="{D5CDD505-2E9C-101B-9397-08002B2CF9AE}" pid="4" name="_MarkAsFinal">
    <vt:bool>true</vt:bool>
  </op:property>
</op:Properties>
</file>